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ヒラギノ角ゴ Pro W3" w:hAnsi="Helvetica" w:cs="Helvetica"/>
          <w:b/>
          <w:bCs/>
          <w:color w:val="000000"/>
          <w:kern w:val="28"/>
          <w:sz w:val="28"/>
          <w:szCs w:val="28"/>
        </w:rPr>
      </w:pPr>
      <w:r w:rsidRPr="00DD1BE7">
        <w:rPr>
          <w:rFonts w:ascii="Helvetica" w:eastAsia="ヒラギノ角ゴ Pro W3" w:hAnsi="Helvetica" w:cs="Helvetica"/>
          <w:b/>
          <w:bCs/>
          <w:color w:val="000000"/>
          <w:kern w:val="28"/>
          <w:sz w:val="28"/>
          <w:szCs w:val="28"/>
        </w:rPr>
        <w:t>SLO Cycle Assessment Form</w:t>
      </w: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ヒラギノ角ゴ Pro W3" w:hAnsi="Helvetica" w:cs="Helvetica"/>
          <w:b/>
          <w:bCs/>
          <w:color w:val="000000"/>
          <w:kern w:val="28"/>
          <w:sz w:val="24"/>
          <w:szCs w:val="24"/>
        </w:rPr>
      </w:pPr>
      <w:r w:rsidRPr="00DD1BE7">
        <w:rPr>
          <w:rFonts w:ascii="Helvetica" w:eastAsia="ヒラギノ角ゴ Pro W3" w:hAnsi="Helvetica" w:cs="Helvetica"/>
          <w:b/>
          <w:bCs/>
          <w:color w:val="000000"/>
          <w:kern w:val="28"/>
          <w:sz w:val="24"/>
          <w:szCs w:val="24"/>
        </w:rPr>
        <w:t xml:space="preserve">Please type on this form. Do not submit handwritten forms.  </w:t>
      </w: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eastAsia="ヒラギノ角ゴ Pro W3" w:hAnsi="Helvetica" w:cs="Helvetica"/>
          <w:color w:val="000000"/>
          <w:kern w:val="28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202"/>
        <w:gridCol w:w="3078"/>
        <w:gridCol w:w="4698"/>
      </w:tblGrid>
      <w:tr w:rsidR="00DD1BE7" w:rsidRPr="00DD1BE7">
        <w:trPr>
          <w:trHeight w:val="835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535234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Course: AHP 12</w:t>
            </w:r>
            <w:r w:rsidR="00DD1BE7"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0 </w:t>
            </w:r>
            <w:r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Pharmacy Technician Body System 1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Semester data collected: </w:t>
            </w:r>
            <w:r w:rsidRPr="00DD1BE7">
              <w:rPr>
                <w:rFonts w:ascii="Helvetica" w:eastAsia="ヒラギノ角ゴ Pro W3" w:hAnsi="Helvetica" w:cs="Helvetica"/>
                <w:b/>
                <w:bCs/>
                <w:noProof/>
                <w:color w:val="000000"/>
                <w:kern w:val="28"/>
              </w:rPr>
              <w:t>Fall 2012</w:t>
            </w: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 </w:t>
            </w:r>
          </w:p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Date this form was completed:  </w:t>
            </w:r>
            <w:r w:rsidRPr="00DD1BE7">
              <w:rPr>
                <w:rFonts w:ascii="Helvetica" w:eastAsia="ヒラギノ角ゴ Pro W3" w:hAnsi="Helvetica" w:cs="Helvetica"/>
                <w:b/>
                <w:bCs/>
                <w:noProof/>
                <w:color w:val="000000"/>
                <w:kern w:val="28"/>
              </w:rPr>
              <w:t>12/13/12</w:t>
            </w:r>
          </w:p>
        </w:tc>
      </w:tr>
      <w:tr w:rsidR="00DD1BE7" w:rsidRPr="00DD1BE7">
        <w:trPr>
          <w:trHeight w:val="1120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/>
                <w:bCs/>
                <w:noProof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# of sections offered: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Times New Roman" w:eastAsia="ヒラギノ角ゴ Pro W3" w:hAnsi="Times New Roman" w:cs="Times New Roman"/>
                <w:noProof/>
                <w:kern w:val="28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b/>
                <w:bCs/>
                <w:noProof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# of sections assessed: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Times New Roman" w:eastAsia="ヒラギノ角ゴ Pro W3" w:hAnsi="Times New Roman" w:cs="Times New Roman"/>
                <w:noProof/>
                <w:kern w:val="28"/>
                <w:sz w:val="20"/>
                <w:szCs w:val="20"/>
              </w:rPr>
              <w:t>1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Data Collected from:  (Check all that apply)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noProof/>
                <w:color w:val="000000"/>
                <w:kern w:val="28"/>
              </w:rPr>
              <w:t>Final Exam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FT Faculty ______     PT Faculty __</w:t>
            </w:r>
            <w:r>
              <w:rPr>
                <w:rFonts w:ascii="Helvetica" w:eastAsia="ヒラギノ角ゴ Pro W3" w:hAnsi="Helvetica" w:cs="Helvetica"/>
                <w:color w:val="000000"/>
                <w:kern w:val="28"/>
              </w:rPr>
              <w:t>X</w:t>
            </w: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____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Day ______  Evening ___</w:t>
            </w:r>
            <w:r>
              <w:rPr>
                <w:rFonts w:ascii="Helvetica" w:eastAsia="ヒラギノ角ゴ Pro W3" w:hAnsi="Helvetica" w:cs="Helvetica"/>
                <w:color w:val="000000"/>
                <w:kern w:val="28"/>
              </w:rPr>
              <w:t>X</w:t>
            </w: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__ Hybrid/Online_____ Weekend______</w:t>
            </w:r>
          </w:p>
        </w:tc>
      </w:tr>
      <w:tr w:rsidR="00DD1BE7" w:rsidRPr="00DD1BE7">
        <w:trPr>
          <w:trHeight w:val="870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1. People involved in summarizing &amp; evaluating data (minimum of two)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  <w:sz w:val="24"/>
                <w:szCs w:val="24"/>
              </w:rPr>
              <w:t>Lead Instructor:   Cynthia Ramirez</w:t>
            </w: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  <w:sz w:val="24"/>
                <w:szCs w:val="24"/>
              </w:rPr>
              <w:tab/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</w:tr>
      <w:tr w:rsidR="00DD1BE7" w:rsidRPr="00DD1BE7">
        <w:trPr>
          <w:trHeight w:val="1660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2. Please list the SLO(s) that was (were) assessed.  Include the description listed on the Course Record of Outline.  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Pr="00DD1BE7" w:rsidRDefault="00535234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ヒラギノ角ゴ Pro W3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kern w:val="28"/>
                <w:sz w:val="24"/>
                <w:szCs w:val="24"/>
              </w:rPr>
              <w:t>Outcome 1</w:t>
            </w:r>
            <w:r w:rsidR="00DD1BE7" w:rsidRPr="00DD1BE7">
              <w:rPr>
                <w:rFonts w:ascii="Arial" w:eastAsia="ヒラギノ角ゴ Pro W3" w:hAnsi="Arial" w:cs="Arial"/>
                <w:kern w:val="28"/>
                <w:sz w:val="24"/>
                <w:szCs w:val="24"/>
              </w:rPr>
              <w:t>:</w:t>
            </w:r>
            <w:r w:rsidR="00050DFC">
              <w:rPr>
                <w:rFonts w:ascii="Arial" w:eastAsia="ヒラギノ角ゴ Pro W3" w:hAnsi="Arial" w:cs="Arial"/>
                <w:kern w:val="28"/>
                <w:sz w:val="24"/>
                <w:szCs w:val="24"/>
              </w:rPr>
              <w:t xml:space="preserve"> correctly </w:t>
            </w:r>
            <w:r>
              <w:rPr>
                <w:rFonts w:ascii="Arial" w:eastAsia="ヒラギノ角ゴ Pro W3" w:hAnsi="Arial" w:cs="Arial"/>
                <w:kern w:val="28"/>
                <w:sz w:val="24"/>
                <w:szCs w:val="24"/>
              </w:rPr>
              <w:t>identify the drug classification for a typical patient with respiratory diseases</w:t>
            </w:r>
            <w:r w:rsidR="00DD1BE7" w:rsidRPr="00DD1BE7">
              <w:rPr>
                <w:rFonts w:ascii="Arial" w:eastAsia="ヒラギノ角ゴ Pro W3" w:hAnsi="Arial" w:cs="Arial"/>
                <w:kern w:val="28"/>
                <w:sz w:val="24"/>
                <w:szCs w:val="24"/>
              </w:rPr>
              <w:t>.(ILO 2, ILO 4)</w:t>
            </w:r>
          </w:p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</w:tr>
      <w:tr w:rsidR="00DD1BE7" w:rsidRPr="00DD1BE7">
        <w:trPr>
          <w:trHeight w:val="3722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3. Data results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noProof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Briefly summarize the data. (Please see instructions).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ヒラギノ角ゴ Pro W3" w:hAnsi="Times New Roman" w:cs="Times New Roman"/>
                <w:noProof/>
                <w:kern w:val="28"/>
                <w:sz w:val="20"/>
                <w:szCs w:val="20"/>
              </w:rPr>
            </w:pPr>
          </w:p>
          <w:p w:rsidR="00DD1BE7" w:rsidRPr="00DD1BE7" w:rsidRDefault="00535234" w:rsidP="00535234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>In Midterm</w:t>
            </w:r>
            <w:r w:rsidR="00863376"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 xml:space="preserve"> exam there will be </w:t>
            </w:r>
            <w:r w:rsidR="00DD1BE7" w:rsidRPr="00DD1BE7"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>quetion</w:t>
            </w:r>
            <w:r w:rsidR="00863376"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>s regarding</w:t>
            </w:r>
            <w:r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 xml:space="preserve"> drug classifications and diseases regarding respiratory</w:t>
            </w:r>
            <w:r w:rsidR="00DD1BE7" w:rsidRPr="00DD1BE7"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>.</w:t>
            </w:r>
            <w:r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 xml:space="preserve"> Students will match the correct drug to the classification and the generic to brand name drugs. </w:t>
            </w:r>
            <w:r w:rsidR="00DD1BE7" w:rsidRPr="00DD1BE7"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Pr="00DD1BE7" w:rsidRDefault="00863376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>A</w:t>
            </w:r>
            <w:r w:rsidR="00535234"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>verage of 85</w:t>
            </w:r>
            <w:r w:rsidR="00DD1BE7" w:rsidRPr="00DD1BE7">
              <w:rPr>
                <w:rFonts w:ascii="Times New Roman" w:eastAsia="ヒラギノ角ゴ Pro W3" w:hAnsi="Times New Roman" w:cs="Times New Roman"/>
                <w:noProof/>
                <w:kern w:val="28"/>
                <w:sz w:val="24"/>
                <w:szCs w:val="24"/>
              </w:rPr>
              <w:t xml:space="preserve">% correct. 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</w:tr>
      <w:tr w:rsidR="00DD1BE7" w:rsidRPr="00DD1BE7">
        <w:trPr>
          <w:trHeight w:val="3706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lastRenderedPageBreak/>
              <w:t>4a. Course/Program Improvements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Please describe what change(s) you plan to implement based on the above results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4b</w:t>
            </w: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 xml:space="preserve">. </w:t>
            </w: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Will this include a change to the curriculum (i.e., course outline)?</w:t>
            </w: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 xml:space="preserve">  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Yes</w:t>
            </w: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  <w:u w:val="single"/>
              </w:rPr>
              <w:t xml:space="preserve">              </w:t>
            </w:r>
          </w:p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No</w:t>
            </w: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  <w:u w:val="single"/>
              </w:rPr>
              <w:t xml:space="preserve">                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Default="00535234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t xml:space="preserve">I will implement more class discussions and group work. So there is more interaction in the class and I am not the only one talking. </w:t>
            </w:r>
          </w:p>
          <w:p w:rsidR="00535234" w:rsidRDefault="00535234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  <w:p w:rsidR="00535234" w:rsidRDefault="00535234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t>No changes in the curriculum.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</w:tr>
      <w:tr w:rsidR="00DD1BE7" w:rsidRPr="00DD1BE7">
        <w:trPr>
          <w:trHeight w:val="5082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5. How did the SLO(s) contribute to student acquisition of the Institutional Learning Outcome(s) (ILOs)?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color w:val="000000"/>
                <w:kern w:val="28"/>
              </w:rPr>
              <w:t>For example, if ILO #1 (communication skills) was identified as being related to this SLO, then please write a sentence or two supporting the relationship.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IVC’s 5 ILOs:  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ILO1 = Communication Skills 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ILO2 = Critical Thinking Skills 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 xml:space="preserve">ILO3 = Personal Responsibility 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ILO4 = Information Literacy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ILO5 = Global Awareness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  <w:sz w:val="24"/>
                <w:szCs w:val="24"/>
              </w:rPr>
            </w:pPr>
          </w:p>
          <w:p w:rsid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t xml:space="preserve">ILO 2 was identified as being related to this SLO because the students are </w:t>
            </w:r>
            <w:r w:rsidR="00535234"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t>to critically think about the disease and relate with classification of medication is needed and then relate that to the brand name and generic name of the drug.</w:t>
            </w:r>
          </w:p>
          <w:p w:rsidR="00DD1BE7" w:rsidRPr="00DD1BE7" w:rsidRDefault="00DD1BE7" w:rsidP="005352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t>ILO 4 was identified as being related to this SLO because students have to literate</w:t>
            </w:r>
            <w:r w:rsidR="00535234"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t xml:space="preserve"> the classifications of each medication learned this semester.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</w:tr>
      <w:tr w:rsidR="00DD1BE7" w:rsidRPr="00DD1BE7" w:rsidTr="00535234">
        <w:trPr>
          <w:trHeight w:val="790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  <w:sz w:val="24"/>
                <w:szCs w:val="24"/>
              </w:rPr>
              <w:t>6. Next Steps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  <w:sz w:val="24"/>
                <w:szCs w:val="24"/>
              </w:rPr>
            </w:pP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  <w:sz w:val="24"/>
                <w:szCs w:val="24"/>
              </w:rPr>
              <w:t xml:space="preserve">Was the process effective? Will you change the outcome/assessment (e.g., alter the SLO, assessment, faculty discussion process, strategy for providing </w:t>
            </w: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  <w:sz w:val="24"/>
                <w:szCs w:val="24"/>
              </w:rPr>
              <w:lastRenderedPageBreak/>
              <w:t xml:space="preserve">SLO to students)?  </w:t>
            </w:r>
          </w:p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  <w:sz w:val="24"/>
                <w:szCs w:val="24"/>
              </w:rPr>
              <w:t>If so, how?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Default="002B62E1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lastRenderedPageBreak/>
              <w:t xml:space="preserve">The process was effective. But I do plan on getting more interaction with the students. </w:t>
            </w:r>
          </w:p>
          <w:p w:rsidR="00535234" w:rsidRPr="00DD1BE7" w:rsidRDefault="00535234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t xml:space="preserve">I will be adding not just the research paper but also presentations in which the students will dress professionally and present their research </w:t>
            </w:r>
            <w:r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  <w:lastRenderedPageBreak/>
              <w:t xml:space="preserve">paper. 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</w:tr>
      <w:tr w:rsidR="00DD1BE7" w:rsidRPr="00DD1BE7">
        <w:trPr>
          <w:trHeight w:val="1400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lastRenderedPageBreak/>
              <w:t>7. After Thoughts</w:t>
            </w:r>
          </w:p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000000"/>
                <w:kern w:val="28"/>
              </w:rPr>
            </w:pPr>
          </w:p>
          <w:p w:rsidR="00DD1BE7" w:rsidRPr="00DD1BE7" w:rsidRDefault="00DD1BE7" w:rsidP="00DD1BE7">
            <w:pPr>
              <w:overflowPunct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  <w:r w:rsidRPr="00DD1BE7">
              <w:rPr>
                <w:rFonts w:ascii="Helvetica" w:eastAsia="ヒラギノ角ゴ Pro W3" w:hAnsi="Helvetica" w:cs="Helvetica"/>
                <w:b/>
                <w:bCs/>
                <w:color w:val="000000"/>
                <w:kern w:val="28"/>
              </w:rPr>
              <w:t>Feel free to celebrate, vent, or otherwise discuss the process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DD1BE7" w:rsidRPr="00DD1BE7" w:rsidRDefault="00DD1BE7" w:rsidP="00DD1B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D1BE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Need to ge</w:t>
            </w:r>
            <w:r w:rsidR="0053523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t student to memorize not just generic and brand but also classifications. Will work more on helping them get these correct. </w:t>
            </w:r>
            <w:r w:rsidRPr="00DD1BE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BE7" w:rsidRPr="00DD1BE7" w:rsidRDefault="00DD1BE7" w:rsidP="00DD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kern w:val="28"/>
                <w:sz w:val="24"/>
                <w:szCs w:val="24"/>
              </w:rPr>
            </w:pPr>
          </w:p>
        </w:tc>
      </w:tr>
    </w:tbl>
    <w:p w:rsidR="00DD1BE7" w:rsidRPr="00DD1BE7" w:rsidRDefault="00DD1BE7" w:rsidP="00DD1BE7">
      <w:pPr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 w:cs="Times New Roman"/>
          <w:kern w:val="28"/>
          <w:sz w:val="20"/>
          <w:szCs w:val="20"/>
        </w:rPr>
      </w:pP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 w:cs="Times New Roman"/>
          <w:kern w:val="28"/>
          <w:sz w:val="20"/>
          <w:szCs w:val="20"/>
        </w:rPr>
      </w:pP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 w:cs="Times New Roman"/>
          <w:kern w:val="28"/>
          <w:sz w:val="20"/>
          <w:szCs w:val="20"/>
        </w:rPr>
      </w:pP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28"/>
          <w:sz w:val="24"/>
          <w:szCs w:val="24"/>
        </w:rPr>
      </w:pPr>
      <w:r w:rsidRPr="00DD1BE7">
        <w:rPr>
          <w:rFonts w:ascii="Helvetica" w:eastAsia="Times New Roman" w:hAnsi="Helvetica" w:cs="Helvetica"/>
          <w:kern w:val="28"/>
          <w:sz w:val="24"/>
          <w:szCs w:val="24"/>
        </w:rPr>
        <w:t>For instructions on how to fill out this form, click here:</w:t>
      </w: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28"/>
          <w:sz w:val="24"/>
          <w:szCs w:val="24"/>
        </w:rPr>
      </w:pPr>
    </w:p>
    <w:p w:rsidR="00DD1BE7" w:rsidRPr="00DD1BE7" w:rsidRDefault="00833CC5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28"/>
          <w:sz w:val="24"/>
          <w:szCs w:val="24"/>
        </w:rPr>
      </w:pPr>
      <w:hyperlink r:id="rId4" w:history="1">
        <w:r w:rsidR="00DD1BE7" w:rsidRPr="00DD1BE7">
          <w:rPr>
            <w:rFonts w:ascii="Helvetica" w:eastAsia="Times New Roman" w:hAnsi="Helvetica" w:cs="Helvetica"/>
            <w:color w:val="0000FF"/>
            <w:kern w:val="28"/>
            <w:sz w:val="24"/>
            <w:szCs w:val="24"/>
            <w:u w:val="single"/>
          </w:rPr>
          <w:t>SLO Cycle Assessment Form Guidelines</w:t>
        </w:r>
      </w:hyperlink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28"/>
          <w:sz w:val="24"/>
          <w:szCs w:val="24"/>
        </w:rPr>
      </w:pP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28"/>
          <w:sz w:val="24"/>
          <w:szCs w:val="24"/>
        </w:rPr>
      </w:pPr>
      <w:r w:rsidRPr="00DD1BE7">
        <w:rPr>
          <w:rFonts w:ascii="Helvetica" w:eastAsia="Times New Roman" w:hAnsi="Helvetica" w:cs="Helvetica"/>
          <w:kern w:val="28"/>
          <w:sz w:val="24"/>
          <w:szCs w:val="24"/>
        </w:rPr>
        <w:t>Or visit the IVC SLO Website:  http://www.imperial.edu/faculty-and-staff/campus-committees/student-learning-outcomes/slo-forms-and-handouts/</w:t>
      </w:r>
    </w:p>
    <w:p w:rsidR="00DD1BE7" w:rsidRPr="00DD1BE7" w:rsidRDefault="00DD1BE7" w:rsidP="00DD1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6F528E" w:rsidRDefault="00535234"/>
    <w:sectPr w:rsidR="006F528E" w:rsidSect="005677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BE7"/>
    <w:rsid w:val="00050DFC"/>
    <w:rsid w:val="00101BC1"/>
    <w:rsid w:val="002A217A"/>
    <w:rsid w:val="002A42BE"/>
    <w:rsid w:val="002B62E1"/>
    <w:rsid w:val="00417615"/>
    <w:rsid w:val="00535234"/>
    <w:rsid w:val="006D497C"/>
    <w:rsid w:val="00833CC5"/>
    <w:rsid w:val="00863376"/>
    <w:rsid w:val="00A53E12"/>
    <w:rsid w:val="00CD0878"/>
    <w:rsid w:val="00DD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User\Local%20Settings\Temporary%20Internet%20Files\Content.Outlook\MJ0C8W89\DRAFT%20SLO%20Cycle%20Assessment%20Form%20Guidelin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</dc:creator>
  <cp:lastModifiedBy>Ramirez</cp:lastModifiedBy>
  <cp:revision>2</cp:revision>
  <dcterms:created xsi:type="dcterms:W3CDTF">2012-12-13T20:59:00Z</dcterms:created>
  <dcterms:modified xsi:type="dcterms:W3CDTF">2012-12-13T20:59:00Z</dcterms:modified>
</cp:coreProperties>
</file>