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  <w:r w:rsidR="005F5C72">
        <w:rPr>
          <w:b/>
          <w:sz w:val="28"/>
          <w:szCs w:val="28"/>
        </w:rPr>
        <w:t xml:space="preserve"> – Phase 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4860"/>
        <w:gridCol w:w="1980"/>
        <w:gridCol w:w="1738"/>
      </w:tblGrid>
      <w:tr w:rsidR="008B6009" w:rsidTr="008B452B">
        <w:tc>
          <w:tcPr>
            <w:tcW w:w="2088" w:type="dxa"/>
          </w:tcPr>
          <w:p w:rsidR="008B6009" w:rsidRDefault="008B6009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009" w:rsidRDefault="0045600B" w:rsidP="008B452B">
            <w:pPr>
              <w:snapToGrid w:val="0"/>
            </w:pPr>
            <w:r>
              <w:t>12-6</w:t>
            </w:r>
            <w:r w:rsidR="00C85412">
              <w:t>-2010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6009" w:rsidRDefault="008B6009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6009" w:rsidRDefault="008B6009" w:rsidP="008B452B">
            <w:pPr>
              <w:snapToGrid w:val="0"/>
            </w:pPr>
          </w:p>
        </w:tc>
      </w:tr>
      <w:tr w:rsidR="008B452B" w:rsidTr="008B452B">
        <w:tc>
          <w:tcPr>
            <w:tcW w:w="2088" w:type="dxa"/>
          </w:tcPr>
          <w:p w:rsidR="008B452B" w:rsidRDefault="008B452B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52B" w:rsidRDefault="00C85412" w:rsidP="008B452B">
            <w:pPr>
              <w:snapToGrid w:val="0"/>
            </w:pPr>
            <w:r>
              <w:t>Nursing Education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C85412" w:rsidP="008B452B">
            <w:pPr>
              <w:snapToGrid w:val="0"/>
            </w:pPr>
            <w:r>
              <w:t>Nursing 241 Nursing Process &amp; Application IV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C85412">
            <w:pPr>
              <w:snapToGrid w:val="0"/>
            </w:pPr>
            <w:r>
              <w:t xml:space="preserve">Lead:  </w:t>
            </w:r>
            <w:r w:rsidR="00C85412">
              <w:t>Richard Fitzsimmons</w:t>
            </w:r>
            <w:r>
              <w:t xml:space="preserve">     Others:</w:t>
            </w:r>
            <w:r w:rsidR="005C6C7E">
              <w:t xml:space="preserve"> Diedre Pollo</w:t>
            </w:r>
            <w:r w:rsidR="00C85412">
              <w:t>ck-</w:t>
            </w:r>
            <w:r w:rsidR="00185E40">
              <w:t>Blevins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 w:firstRow="0" w:lastRow="0" w:firstColumn="0" w:lastColumn="0" w:noHBand="0" w:noVBand="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C85412" w:rsidP="008B452B">
            <w:pPr>
              <w:snapToGrid w:val="0"/>
            </w:pPr>
            <w:r>
              <w:t>Registered Nursing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 w:firstRow="0" w:lastRow="0" w:firstColumn="0" w:lastColumn="0" w:noHBand="0" w:noVBand="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 w:rsidTr="008B452B">
        <w:tc>
          <w:tcPr>
            <w:tcW w:w="748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0299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0"/>
        <w:gridCol w:w="3060"/>
        <w:gridCol w:w="360"/>
        <w:gridCol w:w="6519"/>
      </w:tblGrid>
      <w:tr w:rsidR="008B452B" w:rsidTr="00C707BD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C707BD"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C707BD"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C707BD"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C707BD"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</w:tbl>
    <w:p w:rsidR="00C707BD" w:rsidRDefault="00C707BD"/>
    <w:tbl>
      <w:tblPr>
        <w:tblW w:w="110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3454"/>
        <w:gridCol w:w="2520"/>
        <w:gridCol w:w="4809"/>
      </w:tblGrid>
      <w:tr w:rsidR="008B452B" w:rsidRPr="00C707BD" w:rsidTr="00C707B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Pr="00C707BD" w:rsidRDefault="008B452B" w:rsidP="008B452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C707BD" w:rsidRDefault="008B452B" w:rsidP="008B452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707BD">
              <w:rPr>
                <w:rFonts w:ascii="Arial Narrow" w:hAnsi="Arial Narrow"/>
                <w:b/>
                <w:sz w:val="22"/>
                <w:szCs w:val="22"/>
              </w:rPr>
              <w:t>Student Learning Outcome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C707BD" w:rsidRDefault="008B452B" w:rsidP="008B452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707BD">
              <w:rPr>
                <w:rFonts w:ascii="Arial Narrow" w:hAnsi="Arial Narrow"/>
                <w:b/>
                <w:sz w:val="22"/>
                <w:szCs w:val="22"/>
              </w:rPr>
              <w:t>Assessment Tool</w:t>
            </w:r>
          </w:p>
          <w:p w:rsidR="008B452B" w:rsidRPr="00C707BD" w:rsidRDefault="008B452B" w:rsidP="008B452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707BD">
              <w:rPr>
                <w:rFonts w:ascii="Arial Narrow" w:hAnsi="Arial Narrow"/>
                <w:sz w:val="22"/>
                <w:szCs w:val="22"/>
              </w:rPr>
              <w:t>(e.g., exam, rubric, portfolio)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C707BD" w:rsidRDefault="008B452B" w:rsidP="008B452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707BD">
              <w:rPr>
                <w:rFonts w:ascii="Arial Narrow" w:hAnsi="Arial Narrow"/>
                <w:b/>
                <w:sz w:val="22"/>
                <w:szCs w:val="22"/>
              </w:rPr>
              <w:t>Institutional Outcome*</w:t>
            </w:r>
          </w:p>
          <w:p w:rsidR="008B452B" w:rsidRPr="00C707BD" w:rsidRDefault="008B452B" w:rsidP="008B452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707BD">
              <w:rPr>
                <w:rFonts w:ascii="Arial Narrow" w:hAnsi="Arial Narrow"/>
                <w:sz w:val="22"/>
                <w:szCs w:val="22"/>
              </w:rPr>
              <w:t xml:space="preserve">(e.g., </w:t>
            </w:r>
            <w:proofErr w:type="spellStart"/>
            <w:r w:rsidRPr="00C707BD">
              <w:rPr>
                <w:rFonts w:ascii="Arial Narrow" w:hAnsi="Arial Narrow"/>
                <w:sz w:val="22"/>
                <w:szCs w:val="22"/>
              </w:rPr>
              <w:t>ISLO1</w:t>
            </w:r>
            <w:proofErr w:type="spellEnd"/>
            <w:r w:rsidRPr="00C707BD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C707BD">
              <w:rPr>
                <w:rFonts w:ascii="Arial Narrow" w:hAnsi="Arial Narrow"/>
                <w:sz w:val="22"/>
                <w:szCs w:val="22"/>
              </w:rPr>
              <w:t>ISLO2</w:t>
            </w:r>
            <w:proofErr w:type="spellEnd"/>
            <w:r w:rsidRPr="00C707BD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8B452B" w:rsidRPr="00C707BD" w:rsidTr="00C707B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Pr="00C707BD" w:rsidRDefault="008B452B" w:rsidP="008B452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54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Pr="00C707BD" w:rsidRDefault="006A6446" w:rsidP="00C707B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C707BD">
              <w:rPr>
                <w:rFonts w:ascii="Arial Narrow" w:hAnsi="Arial Narrow"/>
                <w:sz w:val="22"/>
                <w:szCs w:val="22"/>
              </w:rPr>
              <w:t>Outcome 1:</w:t>
            </w:r>
            <w:r w:rsidR="00C85412" w:rsidRPr="00C707BD">
              <w:rPr>
                <w:rFonts w:ascii="Arial Narrow" w:hAnsi="Arial Narrow"/>
                <w:sz w:val="22"/>
                <w:szCs w:val="22"/>
              </w:rPr>
              <w:t xml:space="preserve"> Demonstrate integration of knowledge in all areas of nursing by passing the ATI comprehensive/predictor exam with an individual score of 75 Percent.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Pr="00C707BD" w:rsidRDefault="00C85412" w:rsidP="008B452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C707BD">
              <w:rPr>
                <w:rFonts w:ascii="Arial Narrow" w:hAnsi="Arial Narrow"/>
                <w:sz w:val="22"/>
                <w:szCs w:val="22"/>
              </w:rPr>
              <w:t>ATI comprehensive/predictor exam.</w:t>
            </w:r>
            <w:proofErr w:type="gramEnd"/>
            <w:r w:rsidRPr="00C707BD">
              <w:rPr>
                <w:rFonts w:ascii="Arial Narrow" w:hAnsi="Arial Narrow"/>
                <w:sz w:val="22"/>
                <w:szCs w:val="22"/>
              </w:rPr>
              <w:t xml:space="preserve">  Exam may be taken twice to obtain highest score</w:t>
            </w:r>
          </w:p>
        </w:tc>
        <w:tc>
          <w:tcPr>
            <w:tcW w:w="4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Pr="00C707BD" w:rsidRDefault="0045600B" w:rsidP="0045600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C707BD">
              <w:rPr>
                <w:rFonts w:ascii="Arial Narrow" w:hAnsi="Arial Narrow"/>
                <w:b/>
                <w:sz w:val="22"/>
                <w:szCs w:val="22"/>
                <w:u w:val="single"/>
              </w:rPr>
              <w:t>Fall 2010</w:t>
            </w:r>
            <w:r w:rsidRPr="00C707BD">
              <w:rPr>
                <w:rFonts w:ascii="Arial Narrow" w:hAnsi="Arial Narrow"/>
                <w:sz w:val="22"/>
                <w:szCs w:val="22"/>
              </w:rPr>
              <w:t xml:space="preserve"> averaged 73.35 </w:t>
            </w:r>
            <w:proofErr w:type="gramStart"/>
            <w:r w:rsidRPr="00C707BD">
              <w:rPr>
                <w:rFonts w:ascii="Arial Narrow" w:hAnsi="Arial Narrow"/>
                <w:sz w:val="22"/>
                <w:szCs w:val="22"/>
              </w:rPr>
              <w:t>% which</w:t>
            </w:r>
            <w:proofErr w:type="gramEnd"/>
            <w:r w:rsidRPr="00C707BD">
              <w:rPr>
                <w:rFonts w:ascii="Arial Narrow" w:hAnsi="Arial Narrow"/>
                <w:sz w:val="22"/>
                <w:szCs w:val="22"/>
              </w:rPr>
              <w:t xml:space="preserve"> is a 3.35% drop from the Spring 2010. The highest score </w:t>
            </w:r>
            <w:proofErr w:type="spellStart"/>
            <w:r w:rsidRPr="00C707BD">
              <w:rPr>
                <w:rFonts w:ascii="Arial Narrow" w:hAnsi="Arial Narrow"/>
                <w:sz w:val="22"/>
                <w:szCs w:val="22"/>
              </w:rPr>
              <w:t>was86.7</w:t>
            </w:r>
            <w:proofErr w:type="spellEnd"/>
            <w:r w:rsidRPr="00C707BD">
              <w:rPr>
                <w:rFonts w:ascii="Arial Narrow" w:hAnsi="Arial Narrow"/>
                <w:sz w:val="22"/>
                <w:szCs w:val="22"/>
              </w:rPr>
              <w:t xml:space="preserve"> and the lowest score </w:t>
            </w:r>
            <w:proofErr w:type="spellStart"/>
            <w:r w:rsidRPr="00C707BD">
              <w:rPr>
                <w:rFonts w:ascii="Arial Narrow" w:hAnsi="Arial Narrow"/>
                <w:sz w:val="22"/>
                <w:szCs w:val="22"/>
              </w:rPr>
              <w:t>was63.3</w:t>
            </w:r>
            <w:proofErr w:type="spellEnd"/>
            <w:r w:rsidRPr="00C707BD">
              <w:rPr>
                <w:rFonts w:ascii="Arial Narrow" w:hAnsi="Arial Narrow"/>
                <w:sz w:val="22"/>
                <w:szCs w:val="22"/>
              </w:rPr>
              <w:t xml:space="preserve">%. </w:t>
            </w:r>
            <w:r w:rsidR="00C85412" w:rsidRPr="00C707B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707BD">
              <w:rPr>
                <w:rFonts w:ascii="Arial Narrow" w:hAnsi="Arial Narrow"/>
                <w:sz w:val="22"/>
                <w:szCs w:val="22"/>
              </w:rPr>
              <w:t>33 students took the exam 17</w:t>
            </w:r>
            <w:r w:rsidR="00C85412" w:rsidRPr="00C707BD">
              <w:rPr>
                <w:rFonts w:ascii="Arial Narrow" w:hAnsi="Arial Narrow"/>
                <w:sz w:val="22"/>
                <w:szCs w:val="22"/>
              </w:rPr>
              <w:t xml:space="preserve"> scored below 75% which </w:t>
            </w:r>
            <w:r w:rsidR="0040673F" w:rsidRPr="00C707BD">
              <w:rPr>
                <w:rFonts w:ascii="Arial Narrow" w:hAnsi="Arial Narrow"/>
                <w:sz w:val="22"/>
                <w:szCs w:val="22"/>
              </w:rPr>
              <w:t>meant</w:t>
            </w:r>
            <w:r w:rsidR="00C85412" w:rsidRPr="00C707B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707BD">
              <w:rPr>
                <w:rFonts w:ascii="Arial Narrow" w:hAnsi="Arial Narrow"/>
                <w:sz w:val="22"/>
                <w:szCs w:val="22"/>
              </w:rPr>
              <w:t>51.5</w:t>
            </w:r>
            <w:r w:rsidR="00C85412" w:rsidRPr="00C707BD">
              <w:rPr>
                <w:rFonts w:ascii="Arial Narrow" w:hAnsi="Arial Narrow"/>
                <w:sz w:val="22"/>
                <w:szCs w:val="22"/>
              </w:rPr>
              <w:t>% did not obtain the 75</w:t>
            </w:r>
            <w:proofErr w:type="gramStart"/>
            <w:r w:rsidR="00C85412" w:rsidRPr="00C707BD">
              <w:rPr>
                <w:rFonts w:ascii="Arial Narrow" w:hAnsi="Arial Narrow"/>
                <w:sz w:val="22"/>
                <w:szCs w:val="22"/>
              </w:rPr>
              <w:t>% .</w:t>
            </w:r>
            <w:proofErr w:type="gramEnd"/>
            <w:r w:rsidRPr="00C707BD">
              <w:rPr>
                <w:rFonts w:ascii="Arial Narrow" w:hAnsi="Arial Narrow"/>
                <w:sz w:val="22"/>
                <w:szCs w:val="22"/>
              </w:rPr>
              <w:t xml:space="preserve"> Only 6% of the students did not meet the ATI prediction of 90% possibility of passing boards.</w:t>
            </w:r>
          </w:p>
        </w:tc>
      </w:tr>
      <w:tr w:rsidR="005F5C72" w:rsidRPr="00C707BD" w:rsidTr="00C707B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C72" w:rsidRPr="00C707BD" w:rsidRDefault="005F5C72" w:rsidP="008B452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54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5F5C72" w:rsidRPr="00C707BD" w:rsidRDefault="005F5C72" w:rsidP="008B452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C707BD">
              <w:rPr>
                <w:rFonts w:ascii="Arial Narrow" w:hAnsi="Arial Narrow"/>
                <w:sz w:val="22"/>
                <w:szCs w:val="22"/>
              </w:rPr>
              <w:t xml:space="preserve">Outcome </w:t>
            </w:r>
            <w:proofErr w:type="spellStart"/>
            <w:r w:rsidRPr="00C707BD">
              <w:rPr>
                <w:rFonts w:ascii="Arial Narrow" w:hAnsi="Arial Narrow"/>
                <w:sz w:val="22"/>
                <w:szCs w:val="22"/>
              </w:rPr>
              <w:t>2</w:t>
            </w:r>
            <w:proofErr w:type="gramStart"/>
            <w:r w:rsidRPr="00C707BD">
              <w:rPr>
                <w:rFonts w:ascii="Arial Narrow" w:hAnsi="Arial Narrow"/>
                <w:sz w:val="22"/>
                <w:szCs w:val="22"/>
              </w:rPr>
              <w:t>:</w:t>
            </w:r>
            <w:r w:rsidR="00C85412" w:rsidRPr="00C707BD">
              <w:rPr>
                <w:rFonts w:ascii="Arial Narrow" w:hAnsi="Arial Narrow"/>
                <w:sz w:val="22"/>
                <w:szCs w:val="22"/>
              </w:rPr>
              <w:t>Demonstatrate</w:t>
            </w:r>
            <w:proofErr w:type="spellEnd"/>
            <w:proofErr w:type="gramEnd"/>
            <w:r w:rsidR="00C85412" w:rsidRPr="00C707BD">
              <w:rPr>
                <w:rFonts w:ascii="Arial Narrow" w:hAnsi="Arial Narrow"/>
                <w:sz w:val="22"/>
                <w:szCs w:val="22"/>
              </w:rPr>
              <w:t xml:space="preserve"> integration of knowledge in all areas of nursing by passing the ATI Med/</w:t>
            </w:r>
            <w:proofErr w:type="spellStart"/>
            <w:r w:rsidR="00C85412" w:rsidRPr="00C707BD">
              <w:rPr>
                <w:rFonts w:ascii="Arial Narrow" w:hAnsi="Arial Narrow"/>
                <w:sz w:val="22"/>
                <w:szCs w:val="22"/>
              </w:rPr>
              <w:t>Surg</w:t>
            </w:r>
            <w:proofErr w:type="spellEnd"/>
            <w:r w:rsidR="00C85412" w:rsidRPr="00C707BD">
              <w:rPr>
                <w:rFonts w:ascii="Arial Narrow" w:hAnsi="Arial Narrow"/>
                <w:sz w:val="22"/>
                <w:szCs w:val="22"/>
              </w:rPr>
              <w:t xml:space="preserve"> exam at a level 1 or above.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000000"/>
            </w:tcBorders>
          </w:tcPr>
          <w:p w:rsidR="005F5C72" w:rsidRPr="00C707BD" w:rsidRDefault="00C85412" w:rsidP="008B452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C707BD">
              <w:rPr>
                <w:rFonts w:ascii="Arial Narrow" w:hAnsi="Arial Narrow"/>
                <w:sz w:val="22"/>
                <w:szCs w:val="22"/>
              </w:rPr>
              <w:t>ATI Med/</w:t>
            </w:r>
            <w:proofErr w:type="spellStart"/>
            <w:r w:rsidRPr="00C707BD">
              <w:rPr>
                <w:rFonts w:ascii="Arial Narrow" w:hAnsi="Arial Narrow"/>
                <w:sz w:val="22"/>
                <w:szCs w:val="22"/>
              </w:rPr>
              <w:t>Surg</w:t>
            </w:r>
            <w:proofErr w:type="spellEnd"/>
            <w:r w:rsidRPr="00C707BD">
              <w:rPr>
                <w:rFonts w:ascii="Arial Narrow" w:hAnsi="Arial Narrow"/>
                <w:sz w:val="22"/>
                <w:szCs w:val="22"/>
              </w:rPr>
              <w:t xml:space="preserve"> Exam.</w:t>
            </w:r>
            <w:proofErr w:type="gramEnd"/>
            <w:r w:rsidRPr="00C707BD">
              <w:rPr>
                <w:rFonts w:ascii="Arial Narrow" w:hAnsi="Arial Narrow"/>
                <w:sz w:val="22"/>
                <w:szCs w:val="22"/>
              </w:rPr>
              <w:t xml:space="preserve">  Exam may be taken twice </w:t>
            </w:r>
            <w:proofErr w:type="spellStart"/>
            <w:r w:rsidRPr="00C707BD">
              <w:rPr>
                <w:rFonts w:ascii="Arial Narrow" w:hAnsi="Arial Narrow"/>
                <w:sz w:val="22"/>
                <w:szCs w:val="22"/>
              </w:rPr>
              <w:t>ob</w:t>
            </w:r>
            <w:proofErr w:type="spellEnd"/>
            <w:r w:rsidRPr="00C707BD">
              <w:rPr>
                <w:rFonts w:ascii="Arial Narrow" w:hAnsi="Arial Narrow"/>
                <w:sz w:val="22"/>
                <w:szCs w:val="22"/>
              </w:rPr>
              <w:t xml:space="preserve"> obtain </w:t>
            </w:r>
            <w:r w:rsidR="0040673F" w:rsidRPr="00C707BD">
              <w:rPr>
                <w:rFonts w:ascii="Arial Narrow" w:hAnsi="Arial Narrow"/>
                <w:sz w:val="22"/>
                <w:szCs w:val="22"/>
              </w:rPr>
              <w:t>highest</w:t>
            </w:r>
            <w:r w:rsidRPr="00C707BD">
              <w:rPr>
                <w:rFonts w:ascii="Arial Narrow" w:hAnsi="Arial Narrow"/>
                <w:sz w:val="22"/>
                <w:szCs w:val="22"/>
              </w:rPr>
              <w:t xml:space="preserve"> score.</w:t>
            </w:r>
          </w:p>
        </w:tc>
        <w:tc>
          <w:tcPr>
            <w:tcW w:w="4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2" w:rsidRPr="00C707BD" w:rsidRDefault="00572E92" w:rsidP="008B452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C707BD">
              <w:rPr>
                <w:rFonts w:ascii="Arial Narrow" w:hAnsi="Arial Narrow"/>
                <w:sz w:val="22"/>
                <w:szCs w:val="22"/>
              </w:rPr>
              <w:t>Averaged</w:t>
            </w:r>
            <w:r w:rsidR="0007797E" w:rsidRPr="00C707BD">
              <w:rPr>
                <w:rFonts w:ascii="Arial Narrow" w:hAnsi="Arial Narrow"/>
                <w:sz w:val="22"/>
                <w:szCs w:val="22"/>
              </w:rPr>
              <w:t xml:space="preserve"> score was 68.51</w:t>
            </w:r>
            <w:r w:rsidR="0040673F" w:rsidRPr="00C707BD">
              <w:rPr>
                <w:rFonts w:ascii="Arial Narrow" w:hAnsi="Arial Narrow"/>
                <w:sz w:val="22"/>
                <w:szCs w:val="22"/>
              </w:rPr>
              <w:t xml:space="preserve"> percent and a level 2</w:t>
            </w:r>
            <w:r w:rsidR="0007797E" w:rsidRPr="00C707BD">
              <w:rPr>
                <w:rFonts w:ascii="Arial Narrow" w:hAnsi="Arial Narrow"/>
                <w:sz w:val="22"/>
                <w:szCs w:val="22"/>
              </w:rPr>
              <w:t>.03</w:t>
            </w:r>
            <w:r w:rsidR="0040673F" w:rsidRPr="00C707BD">
              <w:rPr>
                <w:rFonts w:ascii="Arial Narrow" w:hAnsi="Arial Narrow"/>
                <w:sz w:val="22"/>
                <w:szCs w:val="22"/>
              </w:rPr>
              <w:t xml:space="preserve">.  </w:t>
            </w:r>
            <w:r w:rsidR="0007797E" w:rsidRPr="00C707BD">
              <w:rPr>
                <w:rFonts w:ascii="Arial Narrow" w:hAnsi="Arial Narrow"/>
                <w:sz w:val="22"/>
                <w:szCs w:val="22"/>
              </w:rPr>
              <w:t xml:space="preserve">The previous semester the scores were similar at 68.52 and 2.02. </w:t>
            </w:r>
            <w:r w:rsidR="0040673F" w:rsidRPr="00C707BD">
              <w:rPr>
                <w:rFonts w:ascii="Arial Narrow" w:hAnsi="Arial Narrow"/>
                <w:sz w:val="22"/>
                <w:szCs w:val="22"/>
              </w:rPr>
              <w:t>No student performed below level 1</w:t>
            </w:r>
            <w:r w:rsidR="0007797E" w:rsidRPr="00C707B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5F5C72" w:rsidRPr="00C707BD" w:rsidTr="00C707B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C72" w:rsidRPr="00C707BD" w:rsidRDefault="005F5C72" w:rsidP="008B452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54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5F5C72" w:rsidRPr="00C707BD" w:rsidRDefault="005F5C72" w:rsidP="008B452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C707BD">
              <w:rPr>
                <w:rFonts w:ascii="Arial Narrow" w:hAnsi="Arial Narrow"/>
                <w:sz w:val="22"/>
                <w:szCs w:val="22"/>
              </w:rPr>
              <w:t>Outcome 3:</w:t>
            </w:r>
            <w:r w:rsidR="0040673F" w:rsidRPr="00C707BD">
              <w:rPr>
                <w:rFonts w:ascii="Arial Narrow" w:hAnsi="Arial Narrow"/>
                <w:sz w:val="22"/>
                <w:szCs w:val="22"/>
              </w:rPr>
              <w:t xml:space="preserve"> The student will apply relevant nursing theory to patient care to individualized patient and families with multiple body systems stressors in the hospital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000000"/>
            </w:tcBorders>
          </w:tcPr>
          <w:p w:rsidR="005F5C72" w:rsidRPr="00C707BD" w:rsidRDefault="0040673F" w:rsidP="008B452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C707BD">
              <w:rPr>
                <w:rFonts w:ascii="Arial Narrow" w:hAnsi="Arial Narrow"/>
                <w:sz w:val="22"/>
                <w:szCs w:val="22"/>
              </w:rPr>
              <w:t>Clinical evaluation tool</w:t>
            </w:r>
          </w:p>
          <w:p w:rsidR="0040673F" w:rsidRPr="00C707BD" w:rsidRDefault="0040673F" w:rsidP="008B452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:rsidR="0040673F" w:rsidRPr="00C707BD" w:rsidRDefault="0040673F" w:rsidP="008B452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C707BD">
              <w:rPr>
                <w:rFonts w:ascii="Arial Narrow" w:hAnsi="Arial Narrow"/>
                <w:sz w:val="22"/>
                <w:szCs w:val="22"/>
              </w:rPr>
              <w:t>Clinical case Studies</w:t>
            </w:r>
          </w:p>
        </w:tc>
        <w:tc>
          <w:tcPr>
            <w:tcW w:w="4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2" w:rsidRPr="00C707BD" w:rsidRDefault="0040673F" w:rsidP="008B452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C707BD">
              <w:rPr>
                <w:rFonts w:ascii="Arial Narrow" w:hAnsi="Arial Narrow"/>
                <w:sz w:val="22"/>
                <w:szCs w:val="22"/>
              </w:rPr>
              <w:t xml:space="preserve">Evaluations; </w:t>
            </w:r>
            <w:r w:rsidR="00C6785B" w:rsidRPr="00C707BD">
              <w:rPr>
                <w:rFonts w:ascii="Arial Narrow" w:hAnsi="Arial Narrow"/>
                <w:sz w:val="22"/>
                <w:szCs w:val="22"/>
              </w:rPr>
              <w:t>66</w:t>
            </w:r>
            <w:r w:rsidRPr="00C707BD">
              <w:rPr>
                <w:rFonts w:ascii="Arial Narrow" w:hAnsi="Arial Narrow"/>
                <w:sz w:val="22"/>
                <w:szCs w:val="22"/>
              </w:rPr>
              <w:t xml:space="preserve"> total </w:t>
            </w:r>
            <w:r w:rsidR="00C6785B" w:rsidRPr="00C707BD">
              <w:rPr>
                <w:rFonts w:ascii="Arial Narrow" w:hAnsi="Arial Narrow"/>
                <w:sz w:val="22"/>
                <w:szCs w:val="22"/>
              </w:rPr>
              <w:t>3% (2)</w:t>
            </w:r>
            <w:r w:rsidRPr="00C707BD">
              <w:rPr>
                <w:rFonts w:ascii="Arial Narrow" w:hAnsi="Arial Narrow"/>
                <w:sz w:val="22"/>
                <w:szCs w:val="22"/>
              </w:rPr>
              <w:t xml:space="preserve"> had </w:t>
            </w:r>
            <w:r w:rsidR="00C6785B" w:rsidRPr="00C707BD">
              <w:rPr>
                <w:rFonts w:ascii="Arial Narrow" w:hAnsi="Arial Narrow"/>
                <w:sz w:val="22"/>
                <w:szCs w:val="22"/>
              </w:rPr>
              <w:t xml:space="preserve">D, 42.4% (28),had a </w:t>
            </w:r>
            <w:r w:rsidRPr="00C707BD">
              <w:rPr>
                <w:rFonts w:ascii="Arial Narrow" w:hAnsi="Arial Narrow"/>
                <w:sz w:val="22"/>
                <w:szCs w:val="22"/>
              </w:rPr>
              <w:t xml:space="preserve">C, </w:t>
            </w:r>
            <w:r w:rsidR="00C6785B" w:rsidRPr="00C707BD">
              <w:rPr>
                <w:rFonts w:ascii="Arial Narrow" w:hAnsi="Arial Narrow"/>
                <w:sz w:val="22"/>
                <w:szCs w:val="22"/>
              </w:rPr>
              <w:t>50</w:t>
            </w:r>
            <w:r w:rsidRPr="00C707BD">
              <w:rPr>
                <w:rFonts w:ascii="Arial Narrow" w:hAnsi="Arial Narrow"/>
                <w:sz w:val="22"/>
                <w:szCs w:val="22"/>
              </w:rPr>
              <w:t>% (</w:t>
            </w:r>
            <w:r w:rsidR="00C6785B" w:rsidRPr="00C707BD">
              <w:rPr>
                <w:rFonts w:ascii="Arial Narrow" w:hAnsi="Arial Narrow"/>
                <w:sz w:val="22"/>
                <w:szCs w:val="22"/>
              </w:rPr>
              <w:t>33) had B, 4.5% (3</w:t>
            </w:r>
            <w:r w:rsidRPr="00C707BD">
              <w:rPr>
                <w:rFonts w:ascii="Arial Narrow" w:hAnsi="Arial Narrow"/>
                <w:sz w:val="22"/>
                <w:szCs w:val="22"/>
              </w:rPr>
              <w:t>) had</w:t>
            </w:r>
            <w:r w:rsidR="00C6785B" w:rsidRPr="00C707BD">
              <w:rPr>
                <w:rFonts w:ascii="Arial Narrow" w:hAnsi="Arial Narrow"/>
                <w:sz w:val="22"/>
                <w:szCs w:val="22"/>
              </w:rPr>
              <w:t xml:space="preserve"> an</w:t>
            </w:r>
            <w:r w:rsidRPr="00C707BD">
              <w:rPr>
                <w:rFonts w:ascii="Arial Narrow" w:hAnsi="Arial Narrow"/>
                <w:sz w:val="22"/>
                <w:szCs w:val="22"/>
              </w:rPr>
              <w:t xml:space="preserve"> A</w:t>
            </w:r>
            <w:r w:rsidR="00C6785B" w:rsidRPr="00C707BD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40673F" w:rsidRPr="00C707BD" w:rsidRDefault="0040673F" w:rsidP="00C6785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C707BD">
              <w:rPr>
                <w:rFonts w:ascii="Arial Narrow" w:hAnsi="Arial Narrow"/>
                <w:sz w:val="22"/>
                <w:szCs w:val="22"/>
              </w:rPr>
              <w:t xml:space="preserve">Clinical Case studies: A score was </w:t>
            </w:r>
            <w:r w:rsidR="00C6785B" w:rsidRPr="00C707BD">
              <w:rPr>
                <w:rFonts w:ascii="Arial Narrow" w:hAnsi="Arial Narrow"/>
                <w:sz w:val="22"/>
                <w:szCs w:val="22"/>
              </w:rPr>
              <w:t>13.6% (9</w:t>
            </w:r>
            <w:r w:rsidRPr="00C707BD">
              <w:rPr>
                <w:rFonts w:ascii="Arial Narrow" w:hAnsi="Arial Narrow"/>
                <w:sz w:val="22"/>
                <w:szCs w:val="22"/>
              </w:rPr>
              <w:t xml:space="preserve">), B score </w:t>
            </w:r>
            <w:r w:rsidR="00C6785B" w:rsidRPr="00C707BD">
              <w:rPr>
                <w:rFonts w:ascii="Arial Narrow" w:hAnsi="Arial Narrow"/>
                <w:sz w:val="22"/>
                <w:szCs w:val="22"/>
              </w:rPr>
              <w:t>45.5% (30), C score 33.3% (22), &amp; D score 7.6% (5</w:t>
            </w:r>
            <w:r w:rsidRPr="00C707BD">
              <w:rPr>
                <w:rFonts w:ascii="Arial Narrow" w:hAnsi="Arial Narrow"/>
                <w:sz w:val="22"/>
                <w:szCs w:val="22"/>
              </w:rPr>
              <w:t xml:space="preserve">). </w:t>
            </w:r>
          </w:p>
        </w:tc>
      </w:tr>
    </w:tbl>
    <w:p w:rsidR="005F5C72" w:rsidRDefault="008B452B" w:rsidP="00C707BD">
      <w:pPr>
        <w:ind w:right="306"/>
        <w:rPr>
          <w:i/>
          <w:sz w:val="16"/>
          <w:szCs w:val="16"/>
        </w:rPr>
      </w:pPr>
      <w:r w:rsidRPr="005F5C72">
        <w:rPr>
          <w:b/>
          <w:sz w:val="16"/>
          <w:szCs w:val="16"/>
        </w:rPr>
        <w:t xml:space="preserve">Each SLO should describe the knowledge, skills, and/or abilities students will have after </w:t>
      </w:r>
      <w:proofErr w:type="gramStart"/>
      <w:r w:rsidRPr="005F5C72">
        <w:rPr>
          <w:b/>
          <w:sz w:val="16"/>
          <w:szCs w:val="16"/>
        </w:rPr>
        <w:t xml:space="preserve">successful </w:t>
      </w:r>
      <w:r w:rsidR="00C707BD">
        <w:rPr>
          <w:b/>
          <w:sz w:val="16"/>
          <w:szCs w:val="16"/>
        </w:rPr>
        <w:t xml:space="preserve"> </w:t>
      </w:r>
      <w:r w:rsidRPr="005F5C72">
        <w:rPr>
          <w:b/>
          <w:sz w:val="16"/>
          <w:szCs w:val="16"/>
        </w:rPr>
        <w:t>completion</w:t>
      </w:r>
      <w:proofErr w:type="gramEnd"/>
      <w:r w:rsidRPr="005F5C72">
        <w:rPr>
          <w:b/>
          <w:sz w:val="16"/>
          <w:szCs w:val="16"/>
        </w:rPr>
        <w:t xml:space="preserve"> of course or as a result of participation in activity/program.  </w:t>
      </w:r>
      <w:r w:rsidRPr="005F5C72">
        <w:rPr>
          <w:sz w:val="16"/>
          <w:szCs w:val="16"/>
        </w:rPr>
        <w:t xml:space="preserve">A minimum of one SLO is </w:t>
      </w:r>
      <w:proofErr w:type="gramStart"/>
      <w:r w:rsidRPr="005F5C72">
        <w:rPr>
          <w:sz w:val="16"/>
          <w:szCs w:val="16"/>
        </w:rPr>
        <w:t xml:space="preserve">required </w:t>
      </w:r>
      <w:r w:rsidR="00C707BD">
        <w:rPr>
          <w:sz w:val="16"/>
          <w:szCs w:val="16"/>
        </w:rPr>
        <w:t xml:space="preserve"> </w:t>
      </w:r>
      <w:r w:rsidRPr="005F5C72">
        <w:rPr>
          <w:sz w:val="16"/>
          <w:szCs w:val="16"/>
        </w:rPr>
        <w:t>per</w:t>
      </w:r>
      <w:proofErr w:type="gramEnd"/>
      <w:r w:rsidRPr="005F5C72">
        <w:rPr>
          <w:sz w:val="16"/>
          <w:szCs w:val="16"/>
        </w:rPr>
        <w:t xml:space="preserve"> course/program.  You may identify more than one SLO, but please note that you will need to collect </w:t>
      </w:r>
      <w:proofErr w:type="gramStart"/>
      <w:r w:rsidRPr="005F5C72">
        <w:rPr>
          <w:sz w:val="16"/>
          <w:szCs w:val="16"/>
        </w:rPr>
        <w:t xml:space="preserve">and </w:t>
      </w:r>
      <w:r w:rsidR="00C707BD">
        <w:rPr>
          <w:sz w:val="16"/>
          <w:szCs w:val="16"/>
        </w:rPr>
        <w:t xml:space="preserve"> </w:t>
      </w:r>
      <w:r w:rsidRPr="005F5C72">
        <w:rPr>
          <w:sz w:val="16"/>
          <w:szCs w:val="16"/>
        </w:rPr>
        <w:t>evaluate</w:t>
      </w:r>
      <w:proofErr w:type="gramEnd"/>
      <w:r w:rsidRPr="005F5C72">
        <w:rPr>
          <w:sz w:val="16"/>
          <w:szCs w:val="16"/>
        </w:rPr>
        <w:t xml:space="preserve"> data for each SLO that you list above.  Attach separate pages if needed.</w:t>
      </w:r>
      <w:r w:rsidRPr="005F5C72">
        <w:rPr>
          <w:i/>
          <w:sz w:val="16"/>
          <w:szCs w:val="16"/>
        </w:rPr>
        <w:t xml:space="preserve">   For assistance contact:  Toni Pfister </w:t>
      </w:r>
      <w:hyperlink r:id="rId8" w:history="1">
        <w:r w:rsidRPr="005F5C72">
          <w:rPr>
            <w:rStyle w:val="Hyperlink"/>
            <w:i/>
            <w:sz w:val="16"/>
            <w:szCs w:val="16"/>
          </w:rPr>
          <w:t>toni.pfister@imperial.edu</w:t>
        </w:r>
      </w:hyperlink>
      <w:r w:rsidRPr="005F5C72">
        <w:rPr>
          <w:i/>
          <w:sz w:val="16"/>
          <w:szCs w:val="16"/>
        </w:rPr>
        <w:t xml:space="preserve"> or </w:t>
      </w:r>
      <w:proofErr w:type="spellStart"/>
      <w:r w:rsidRPr="005F5C72">
        <w:rPr>
          <w:i/>
          <w:sz w:val="16"/>
          <w:szCs w:val="16"/>
        </w:rPr>
        <w:t>X6546</w:t>
      </w:r>
      <w:proofErr w:type="spellEnd"/>
    </w:p>
    <w:p w:rsidR="008B452B" w:rsidRPr="005F5C72" w:rsidRDefault="008B452B" w:rsidP="008B452B">
      <w:pPr>
        <w:ind w:right="-540"/>
        <w:rPr>
          <w:sz w:val="16"/>
          <w:szCs w:val="16"/>
        </w:rPr>
      </w:pPr>
      <w:r w:rsidRPr="005F5C72">
        <w:rPr>
          <w:b/>
          <w:sz w:val="16"/>
          <w:szCs w:val="16"/>
        </w:rPr>
        <w:t xml:space="preserve">*Institutional Student Learning Outcomes:  </w:t>
      </w:r>
      <w:proofErr w:type="spellStart"/>
      <w:r w:rsidRPr="005F5C72">
        <w:rPr>
          <w:b/>
          <w:sz w:val="16"/>
          <w:szCs w:val="16"/>
        </w:rPr>
        <w:t>ISLO1</w:t>
      </w:r>
      <w:proofErr w:type="spellEnd"/>
      <w:r w:rsidRPr="005F5C72">
        <w:rPr>
          <w:sz w:val="16"/>
          <w:szCs w:val="16"/>
        </w:rPr>
        <w:t xml:space="preserve"> = communication skills; </w:t>
      </w:r>
      <w:proofErr w:type="spellStart"/>
      <w:r w:rsidRPr="005F5C72">
        <w:rPr>
          <w:sz w:val="16"/>
          <w:szCs w:val="16"/>
        </w:rPr>
        <w:t>I</w:t>
      </w:r>
      <w:r w:rsidRPr="005F5C72">
        <w:rPr>
          <w:b/>
          <w:sz w:val="16"/>
          <w:szCs w:val="16"/>
        </w:rPr>
        <w:t>SLO2</w:t>
      </w:r>
      <w:proofErr w:type="spellEnd"/>
      <w:r w:rsidRPr="005F5C72">
        <w:rPr>
          <w:sz w:val="16"/>
          <w:szCs w:val="16"/>
        </w:rPr>
        <w:t xml:space="preserve"> = critical thinking skills; </w:t>
      </w:r>
    </w:p>
    <w:p w:rsidR="008B452B" w:rsidRPr="005F5C72" w:rsidRDefault="008B452B" w:rsidP="008B452B">
      <w:pPr>
        <w:ind w:right="-540"/>
        <w:rPr>
          <w:i/>
          <w:sz w:val="16"/>
          <w:szCs w:val="16"/>
        </w:rPr>
      </w:pPr>
      <w:proofErr w:type="spellStart"/>
      <w:r w:rsidRPr="005F5C72">
        <w:rPr>
          <w:b/>
          <w:sz w:val="16"/>
          <w:szCs w:val="16"/>
        </w:rPr>
        <w:t>ISLO3</w:t>
      </w:r>
      <w:proofErr w:type="spellEnd"/>
      <w:r w:rsidRPr="005F5C72">
        <w:rPr>
          <w:sz w:val="16"/>
          <w:szCs w:val="16"/>
        </w:rPr>
        <w:t xml:space="preserve"> = personal responsibility; </w:t>
      </w:r>
      <w:proofErr w:type="spellStart"/>
      <w:r w:rsidRPr="005F5C72">
        <w:rPr>
          <w:sz w:val="16"/>
          <w:szCs w:val="16"/>
        </w:rPr>
        <w:t>I</w:t>
      </w:r>
      <w:r w:rsidRPr="005F5C72">
        <w:rPr>
          <w:b/>
          <w:sz w:val="16"/>
          <w:szCs w:val="16"/>
        </w:rPr>
        <w:t>SLO4</w:t>
      </w:r>
      <w:proofErr w:type="spellEnd"/>
      <w:r w:rsidRPr="005F5C72">
        <w:rPr>
          <w:sz w:val="16"/>
          <w:szCs w:val="16"/>
        </w:rPr>
        <w:t xml:space="preserve"> = information literacy; </w:t>
      </w:r>
      <w:proofErr w:type="spellStart"/>
      <w:r w:rsidRPr="005F5C72">
        <w:rPr>
          <w:sz w:val="16"/>
          <w:szCs w:val="16"/>
        </w:rPr>
        <w:t>I</w:t>
      </w:r>
      <w:r w:rsidRPr="005F5C72">
        <w:rPr>
          <w:b/>
          <w:sz w:val="16"/>
          <w:szCs w:val="16"/>
        </w:rPr>
        <w:t>SLO5</w:t>
      </w:r>
      <w:proofErr w:type="spellEnd"/>
      <w:r w:rsidRPr="005F5C72">
        <w:rPr>
          <w:sz w:val="16"/>
          <w:szCs w:val="16"/>
        </w:rPr>
        <w:t xml:space="preserve"> = global awareness</w:t>
      </w:r>
      <w:r w:rsidRPr="005F5C72">
        <w:rPr>
          <w:sz w:val="16"/>
          <w:szCs w:val="16"/>
        </w:rPr>
        <w:tab/>
        <w:t xml:space="preserve">    </w:t>
      </w:r>
      <w:r w:rsidRPr="005F5C72">
        <w:rPr>
          <w:i/>
          <w:sz w:val="16"/>
          <w:szCs w:val="16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C707BD" w:rsidRDefault="00C707BD" w:rsidP="008B452B">
      <w:pPr>
        <w:ind w:right="-540"/>
        <w:rPr>
          <w:i/>
          <w:sz w:val="20"/>
          <w:szCs w:val="20"/>
        </w:rPr>
      </w:pPr>
    </w:p>
    <w:p w:rsidR="00C707BD" w:rsidRDefault="00C707BD" w:rsidP="008B452B">
      <w:pPr>
        <w:ind w:right="-540"/>
        <w:rPr>
          <w:i/>
          <w:sz w:val="20"/>
          <w:szCs w:val="20"/>
        </w:rPr>
      </w:pPr>
    </w:p>
    <w:p w:rsidR="008B452B" w:rsidRPr="005F5C72" w:rsidRDefault="008B452B" w:rsidP="005F5C72">
      <w:pPr>
        <w:ind w:left="720"/>
        <w:rPr>
          <w:b/>
          <w:sz w:val="28"/>
          <w:szCs w:val="28"/>
        </w:rPr>
      </w:pPr>
      <w:r w:rsidRPr="00463F57">
        <w:rPr>
          <w:i/>
          <w:sz w:val="20"/>
          <w:szCs w:val="20"/>
        </w:rPr>
        <w:lastRenderedPageBreak/>
        <w:tab/>
        <w:t xml:space="preserve">   </w:t>
      </w:r>
      <w:r w:rsidR="005F5C72">
        <w:rPr>
          <w:b/>
          <w:sz w:val="28"/>
          <w:szCs w:val="28"/>
        </w:rPr>
        <w:t>Student Learning Outcomes (SLO) Assessment Cycle Form – Phase II</w:t>
      </w:r>
    </w:p>
    <w:tbl>
      <w:tblPr>
        <w:tblpPr w:leftFromText="180" w:rightFromText="180" w:vertAnchor="page" w:horzAnchor="margin" w:tblpY="1321"/>
        <w:tblW w:w="1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8820"/>
      </w:tblGrid>
      <w:tr w:rsidR="008B452B" w:rsidRPr="00C707BD" w:rsidTr="00C707BD">
        <w:tc>
          <w:tcPr>
            <w:tcW w:w="2358" w:type="dxa"/>
          </w:tcPr>
          <w:p w:rsidR="006A6446" w:rsidRPr="00C707BD" w:rsidRDefault="008B452B" w:rsidP="008B6009">
            <w:pPr>
              <w:keepNext/>
              <w:spacing w:before="240" w:after="120"/>
              <w:rPr>
                <w:rFonts w:ascii="Arial Narrow" w:eastAsia="MS Mincho" w:hAnsi="Arial Narrow" w:cs="Arial"/>
                <w:bCs/>
                <w:sz w:val="20"/>
                <w:szCs w:val="20"/>
              </w:rPr>
            </w:pPr>
            <w:r w:rsidRPr="00C707BD">
              <w:rPr>
                <w:rFonts w:ascii="Arial Narrow" w:eastAsia="MS Mincho" w:hAnsi="Arial Narrow" w:cs="Arial"/>
                <w:bCs/>
                <w:sz w:val="20"/>
                <w:szCs w:val="20"/>
              </w:rPr>
              <w:t>1. Course Number</w:t>
            </w:r>
            <w:r w:rsidR="006A6446" w:rsidRPr="00C707BD">
              <w:rPr>
                <w:rFonts w:ascii="Arial Narrow" w:eastAsia="MS Mincho" w:hAnsi="Arial Narrow" w:cs="Arial"/>
                <w:bCs/>
                <w:sz w:val="20"/>
                <w:szCs w:val="20"/>
              </w:rPr>
              <w:t xml:space="preserve"> &amp; Date of </w:t>
            </w:r>
            <w:r w:rsidR="008B6009" w:rsidRPr="00C707BD">
              <w:rPr>
                <w:rFonts w:ascii="Arial Narrow" w:eastAsia="MS Mincho" w:hAnsi="Arial Narrow" w:cs="Arial"/>
                <w:bCs/>
                <w:sz w:val="20"/>
                <w:szCs w:val="20"/>
              </w:rPr>
              <w:t>Assessment Cycle Completion</w:t>
            </w:r>
            <w:r w:rsidR="006A6446" w:rsidRPr="00C707BD">
              <w:rPr>
                <w:rFonts w:ascii="Arial Narrow" w:eastAsia="MS Mincho" w:hAnsi="Arial Narrow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20" w:type="dxa"/>
          </w:tcPr>
          <w:p w:rsidR="008B452B" w:rsidRPr="00C707BD" w:rsidRDefault="006A6446" w:rsidP="00046F1C">
            <w:pPr>
              <w:keepNext/>
              <w:spacing w:before="240" w:after="120"/>
              <w:rPr>
                <w:rFonts w:ascii="Arial Narrow" w:eastAsia="MS Mincho" w:hAnsi="Arial Narrow" w:cs="Arial"/>
                <w:sz w:val="22"/>
                <w:szCs w:val="22"/>
              </w:rPr>
            </w:pPr>
            <w:r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Course:    </w:t>
            </w:r>
            <w:r w:rsidR="00046F1C" w:rsidRPr="00C707BD">
              <w:rPr>
                <w:rFonts w:ascii="Arial Narrow" w:eastAsia="MS Mincho" w:hAnsi="Arial Narrow" w:cs="Arial"/>
                <w:sz w:val="22"/>
                <w:szCs w:val="22"/>
              </w:rPr>
              <w:t>Nursing 241</w:t>
            </w:r>
            <w:r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                       Date:</w:t>
            </w:r>
            <w:r w:rsidR="003B2432"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 12-</w:t>
            </w:r>
            <w:r w:rsidR="005C6C7E" w:rsidRPr="00C707BD">
              <w:rPr>
                <w:rFonts w:ascii="Arial Narrow" w:eastAsia="MS Mincho" w:hAnsi="Arial Narrow" w:cs="Arial"/>
                <w:sz w:val="22"/>
                <w:szCs w:val="22"/>
              </w:rPr>
              <w:t>6-10</w:t>
            </w:r>
          </w:p>
        </w:tc>
      </w:tr>
      <w:tr w:rsidR="008B452B" w:rsidRPr="00C707BD" w:rsidTr="00C707BD">
        <w:tc>
          <w:tcPr>
            <w:tcW w:w="2358" w:type="dxa"/>
          </w:tcPr>
          <w:p w:rsidR="008B452B" w:rsidRPr="00C707BD" w:rsidRDefault="008B452B" w:rsidP="008B452B">
            <w:pPr>
              <w:keepNext/>
              <w:spacing w:before="240" w:after="120"/>
              <w:rPr>
                <w:rFonts w:ascii="Arial Narrow" w:eastAsia="MS Mincho" w:hAnsi="Arial Narrow" w:cs="Arial"/>
                <w:bCs/>
                <w:sz w:val="20"/>
                <w:szCs w:val="20"/>
              </w:rPr>
            </w:pPr>
            <w:r w:rsidRPr="00C707BD">
              <w:rPr>
                <w:rFonts w:ascii="Arial Narrow" w:eastAsia="MS Mincho" w:hAnsi="Arial Narrow" w:cs="Arial"/>
                <w:bCs/>
                <w:sz w:val="20"/>
                <w:szCs w:val="20"/>
              </w:rPr>
              <w:t>2. People involved in summarizing and evaluating data</w:t>
            </w:r>
          </w:p>
        </w:tc>
        <w:tc>
          <w:tcPr>
            <w:tcW w:w="8820" w:type="dxa"/>
          </w:tcPr>
          <w:p w:rsidR="00046F1C" w:rsidRPr="00C707BD" w:rsidRDefault="00046F1C" w:rsidP="00C707BD">
            <w:pPr>
              <w:keepNext/>
              <w:spacing w:before="240" w:after="120"/>
              <w:rPr>
                <w:rFonts w:ascii="Arial Narrow" w:eastAsia="MS Mincho" w:hAnsi="Arial Narrow" w:cs="Arial"/>
                <w:sz w:val="22"/>
                <w:szCs w:val="22"/>
              </w:rPr>
            </w:pPr>
            <w:r w:rsidRPr="00C707BD">
              <w:rPr>
                <w:rFonts w:ascii="Arial Narrow" w:eastAsia="MS Mincho" w:hAnsi="Arial Narrow" w:cs="Arial"/>
                <w:sz w:val="22"/>
                <w:szCs w:val="22"/>
              </w:rPr>
              <w:t>Rick Fitzsimmons</w:t>
            </w:r>
            <w:r w:rsidR="00C707BD"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 and </w:t>
            </w:r>
            <w:r w:rsidR="003B2432" w:rsidRPr="00C707BD">
              <w:rPr>
                <w:rFonts w:ascii="Arial Narrow" w:eastAsia="MS Mincho" w:hAnsi="Arial Narrow" w:cs="Arial"/>
                <w:sz w:val="22"/>
                <w:szCs w:val="22"/>
              </w:rPr>
              <w:t>Deidre</w:t>
            </w:r>
            <w:r w:rsidR="00BC712F"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 Pollock-B</w:t>
            </w:r>
            <w:r w:rsidRPr="00C707BD">
              <w:rPr>
                <w:rFonts w:ascii="Arial Narrow" w:eastAsia="MS Mincho" w:hAnsi="Arial Narrow" w:cs="Arial"/>
                <w:sz w:val="22"/>
                <w:szCs w:val="22"/>
              </w:rPr>
              <w:t>l</w:t>
            </w:r>
            <w:r w:rsidR="00BC712F" w:rsidRPr="00C707BD">
              <w:rPr>
                <w:rFonts w:ascii="Arial Narrow" w:eastAsia="MS Mincho" w:hAnsi="Arial Narrow" w:cs="Arial"/>
                <w:sz w:val="22"/>
                <w:szCs w:val="22"/>
              </w:rPr>
              <w:t>e</w:t>
            </w:r>
            <w:r w:rsidRPr="00C707BD">
              <w:rPr>
                <w:rFonts w:ascii="Arial Narrow" w:eastAsia="MS Mincho" w:hAnsi="Arial Narrow" w:cs="Arial"/>
                <w:sz w:val="22"/>
                <w:szCs w:val="22"/>
              </w:rPr>
              <w:t>vins</w:t>
            </w:r>
          </w:p>
        </w:tc>
      </w:tr>
      <w:tr w:rsidR="008B452B" w:rsidRPr="00C707BD" w:rsidTr="00C707BD">
        <w:tc>
          <w:tcPr>
            <w:tcW w:w="2358" w:type="dxa"/>
          </w:tcPr>
          <w:p w:rsidR="008B452B" w:rsidRPr="00C707BD" w:rsidRDefault="008B452B" w:rsidP="008B452B">
            <w:pPr>
              <w:keepNext/>
              <w:spacing w:before="240" w:after="120"/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C707BD">
              <w:rPr>
                <w:rFonts w:ascii="Arial Narrow" w:eastAsia="MS Mincho" w:hAnsi="Arial Narrow" w:cs="Arial"/>
                <w:bCs/>
                <w:sz w:val="20"/>
                <w:szCs w:val="20"/>
              </w:rPr>
              <w:t>3. Data Results</w:t>
            </w:r>
          </w:p>
          <w:p w:rsidR="008B452B" w:rsidRPr="00C707BD" w:rsidRDefault="008B452B" w:rsidP="008B452B">
            <w:pPr>
              <w:keepNext/>
              <w:spacing w:before="240" w:after="120"/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C707BD">
              <w:rPr>
                <w:rFonts w:ascii="Arial Narrow" w:eastAsia="MS Mincho" w:hAnsi="Arial Narrow" w:cs="Arial"/>
                <w:sz w:val="20"/>
                <w:szCs w:val="20"/>
              </w:rPr>
              <w:t>Briefly summarize the results of the data you collected.</w:t>
            </w:r>
          </w:p>
        </w:tc>
        <w:tc>
          <w:tcPr>
            <w:tcW w:w="8820" w:type="dxa"/>
          </w:tcPr>
          <w:p w:rsidR="006A6446" w:rsidRPr="00C707BD" w:rsidRDefault="006A6446" w:rsidP="008B452B">
            <w:pPr>
              <w:keepNext/>
              <w:spacing w:before="240" w:after="120"/>
              <w:rPr>
                <w:rFonts w:ascii="Arial Narrow" w:eastAsia="MS Mincho" w:hAnsi="Arial Narrow" w:cs="Arial"/>
                <w:sz w:val="22"/>
                <w:szCs w:val="22"/>
              </w:rPr>
            </w:pPr>
            <w:r w:rsidRPr="00C707BD">
              <w:rPr>
                <w:rFonts w:ascii="Arial Narrow" w:eastAsia="MS Mincho" w:hAnsi="Arial Narrow" w:cs="Arial"/>
                <w:sz w:val="22"/>
                <w:szCs w:val="22"/>
              </w:rPr>
              <w:t>Outcome 1</w:t>
            </w:r>
            <w:r w:rsidR="00785DB2" w:rsidRPr="00C707BD">
              <w:rPr>
                <w:rFonts w:ascii="Arial Narrow" w:eastAsia="MS Mincho" w:hAnsi="Arial Narrow" w:cs="Arial"/>
                <w:sz w:val="22"/>
                <w:szCs w:val="22"/>
              </w:rPr>
              <w:t>: The</w:t>
            </w:r>
            <w:r w:rsidR="00046F1C"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 predictor scores for the </w:t>
            </w:r>
            <w:r w:rsidR="00BC712F" w:rsidRPr="00C707BD">
              <w:rPr>
                <w:rFonts w:ascii="Arial Narrow" w:eastAsia="MS Mincho" w:hAnsi="Arial Narrow" w:cs="Arial"/>
                <w:sz w:val="22"/>
                <w:szCs w:val="22"/>
                <w:u w:val="single"/>
              </w:rPr>
              <w:t>Fall 10</w:t>
            </w:r>
            <w:r w:rsidR="00BC712F"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 semester averaged 73</w:t>
            </w:r>
            <w:r w:rsidR="00046F1C" w:rsidRPr="00C707BD">
              <w:rPr>
                <w:rFonts w:ascii="Arial Narrow" w:eastAsia="MS Mincho" w:hAnsi="Arial Narrow" w:cs="Arial"/>
                <w:sz w:val="22"/>
                <w:szCs w:val="22"/>
              </w:rPr>
              <w:t>.</w:t>
            </w:r>
            <w:r w:rsidR="00BC712F" w:rsidRPr="00C707BD">
              <w:rPr>
                <w:rFonts w:ascii="Arial Narrow" w:eastAsia="MS Mincho" w:hAnsi="Arial Narrow" w:cs="Arial"/>
                <w:sz w:val="22"/>
                <w:szCs w:val="22"/>
              </w:rPr>
              <w:t>37</w:t>
            </w:r>
            <w:r w:rsidR="00046F1C"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 </w:t>
            </w:r>
            <w:proofErr w:type="gramStart"/>
            <w:r w:rsidR="00046F1C" w:rsidRPr="00C707BD">
              <w:rPr>
                <w:rFonts w:ascii="Arial Narrow" w:eastAsia="MS Mincho" w:hAnsi="Arial Narrow" w:cs="Arial"/>
                <w:sz w:val="22"/>
                <w:szCs w:val="22"/>
              </w:rPr>
              <w:t>percent</w:t>
            </w:r>
            <w:r w:rsidR="00BC712F"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 which</w:t>
            </w:r>
            <w:proofErr w:type="gramEnd"/>
            <w:r w:rsidR="00BC712F"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 according to ATI gives a 93% board pass rate.   The highest score was 86.7</w:t>
            </w:r>
            <w:r w:rsidR="00785DB2" w:rsidRPr="00C707BD">
              <w:rPr>
                <w:rFonts w:ascii="Arial Narrow" w:eastAsia="MS Mincho" w:hAnsi="Arial Narrow" w:cs="Arial"/>
                <w:sz w:val="22"/>
                <w:szCs w:val="22"/>
              </w:rPr>
              <w:t>.  The</w:t>
            </w:r>
            <w:r w:rsidR="00046F1C"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 </w:t>
            </w:r>
            <w:r w:rsidR="00785DB2" w:rsidRPr="00C707BD">
              <w:rPr>
                <w:rFonts w:ascii="Arial Narrow" w:eastAsia="MS Mincho" w:hAnsi="Arial Narrow" w:cs="Arial"/>
                <w:sz w:val="22"/>
                <w:szCs w:val="22"/>
              </w:rPr>
              <w:t>lowest</w:t>
            </w:r>
            <w:r w:rsidR="00BC712F"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 score was 63</w:t>
            </w:r>
            <w:r w:rsidR="00046F1C" w:rsidRPr="00C707BD">
              <w:rPr>
                <w:rFonts w:ascii="Arial Narrow" w:eastAsia="MS Mincho" w:hAnsi="Arial Narrow" w:cs="Arial"/>
                <w:sz w:val="22"/>
                <w:szCs w:val="22"/>
              </w:rPr>
              <w:t>.3</w:t>
            </w:r>
            <w:r w:rsidR="00BC712F"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 per cent.  Thirty three (33) students took the test and 17</w:t>
            </w:r>
            <w:r w:rsidR="00785DB2"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 scor</w:t>
            </w:r>
            <w:r w:rsidR="00BC712F" w:rsidRPr="00C707BD">
              <w:rPr>
                <w:rFonts w:ascii="Arial Narrow" w:eastAsia="MS Mincho" w:hAnsi="Arial Narrow" w:cs="Arial"/>
                <w:sz w:val="22"/>
                <w:szCs w:val="22"/>
              </w:rPr>
              <w:t>ed below 75</w:t>
            </w:r>
            <w:proofErr w:type="gramStart"/>
            <w:r w:rsidR="00BC712F" w:rsidRPr="00C707BD">
              <w:rPr>
                <w:rFonts w:ascii="Arial Narrow" w:eastAsia="MS Mincho" w:hAnsi="Arial Narrow" w:cs="Arial"/>
                <w:sz w:val="22"/>
                <w:szCs w:val="22"/>
              </w:rPr>
              <w:t>% which represents 51</w:t>
            </w:r>
            <w:r w:rsidR="00785DB2"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 percent of class</w:t>
            </w:r>
            <w:proofErr w:type="gramEnd"/>
            <w:r w:rsidR="00785DB2"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 </w:t>
            </w:r>
            <w:r w:rsidR="00BC712F" w:rsidRPr="00C707BD">
              <w:rPr>
                <w:rFonts w:ascii="Arial Narrow" w:eastAsia="MS Mincho" w:hAnsi="Arial Narrow" w:cs="Arial"/>
                <w:sz w:val="22"/>
                <w:szCs w:val="22"/>
              </w:rPr>
              <w:t>did</w:t>
            </w:r>
            <w:r w:rsidR="00785DB2"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 not obtain the 75 percent that we were looking for.</w:t>
            </w:r>
          </w:p>
          <w:p w:rsidR="006A6446" w:rsidRPr="00C707BD" w:rsidRDefault="006A6446" w:rsidP="008B452B">
            <w:pPr>
              <w:keepNext/>
              <w:spacing w:before="240" w:after="120"/>
              <w:rPr>
                <w:rFonts w:ascii="Arial Narrow" w:eastAsia="MS Mincho" w:hAnsi="Arial Narrow" w:cs="Arial"/>
                <w:sz w:val="22"/>
                <w:szCs w:val="22"/>
              </w:rPr>
            </w:pPr>
            <w:r w:rsidRPr="00C707BD">
              <w:rPr>
                <w:rFonts w:ascii="Arial Narrow" w:eastAsia="MS Mincho" w:hAnsi="Arial Narrow" w:cs="Arial"/>
                <w:sz w:val="22"/>
                <w:szCs w:val="22"/>
              </w:rPr>
              <w:t>Outcome 2:</w:t>
            </w:r>
            <w:r w:rsidR="00785DB2"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 The med/</w:t>
            </w:r>
            <w:proofErr w:type="spellStart"/>
            <w:r w:rsidR="00785DB2" w:rsidRPr="00C707BD">
              <w:rPr>
                <w:rFonts w:ascii="Arial Narrow" w:eastAsia="MS Mincho" w:hAnsi="Arial Narrow" w:cs="Arial"/>
                <w:sz w:val="22"/>
                <w:szCs w:val="22"/>
              </w:rPr>
              <w:t>surg</w:t>
            </w:r>
            <w:proofErr w:type="spellEnd"/>
            <w:r w:rsidR="00785DB2"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 scores for the </w:t>
            </w:r>
            <w:r w:rsidR="00BC712F" w:rsidRPr="00C707BD">
              <w:rPr>
                <w:rFonts w:ascii="Arial Narrow" w:eastAsia="MS Mincho" w:hAnsi="Arial Narrow" w:cs="Arial"/>
                <w:sz w:val="22"/>
                <w:szCs w:val="22"/>
                <w:u w:val="single"/>
              </w:rPr>
              <w:t>Fall 10</w:t>
            </w:r>
            <w:r w:rsidR="00BC712F"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 semester averaged 68.51</w:t>
            </w:r>
            <w:r w:rsidR="00785DB2"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 percent and a level 2</w:t>
            </w:r>
            <w:r w:rsidR="00BC712F" w:rsidRPr="00C707BD">
              <w:rPr>
                <w:rFonts w:ascii="Arial Narrow" w:eastAsia="MS Mincho" w:hAnsi="Arial Narrow" w:cs="Arial"/>
                <w:sz w:val="22"/>
                <w:szCs w:val="22"/>
              </w:rPr>
              <w:t>.03</w:t>
            </w:r>
            <w:r w:rsidR="00785DB2"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 for </w:t>
            </w:r>
            <w:r w:rsidR="003F3EB8" w:rsidRPr="00C707BD">
              <w:rPr>
                <w:rFonts w:ascii="Arial Narrow" w:eastAsia="MS Mincho" w:hAnsi="Arial Narrow" w:cs="Arial"/>
                <w:sz w:val="22"/>
                <w:szCs w:val="22"/>
              </w:rPr>
              <w:t>the</w:t>
            </w:r>
            <w:r w:rsidR="00BC712F"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 test.  All 33</w:t>
            </w:r>
            <w:r w:rsidR="00785DB2"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 students were above the level one in testing. </w:t>
            </w:r>
          </w:p>
          <w:p w:rsidR="008B452B" w:rsidRPr="00C707BD" w:rsidRDefault="006A6446" w:rsidP="008B452B">
            <w:pPr>
              <w:keepNext/>
              <w:spacing w:before="240" w:after="120"/>
              <w:rPr>
                <w:rFonts w:ascii="Arial Narrow" w:eastAsia="MS Mincho" w:hAnsi="Arial Narrow" w:cs="Arial"/>
                <w:sz w:val="22"/>
                <w:szCs w:val="22"/>
              </w:rPr>
            </w:pPr>
            <w:r w:rsidRPr="00C707BD">
              <w:rPr>
                <w:rFonts w:ascii="Arial Narrow" w:eastAsia="MS Mincho" w:hAnsi="Arial Narrow" w:cs="Arial"/>
                <w:sz w:val="22"/>
                <w:szCs w:val="22"/>
              </w:rPr>
              <w:t>Outcome 3:</w:t>
            </w:r>
            <w:r w:rsidR="00785DB2"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  The </w:t>
            </w:r>
            <w:r w:rsidR="00BC712F" w:rsidRPr="00C707BD">
              <w:rPr>
                <w:rFonts w:ascii="Arial Narrow" w:eastAsia="MS Mincho" w:hAnsi="Arial Narrow" w:cs="Arial"/>
                <w:sz w:val="22"/>
                <w:szCs w:val="22"/>
                <w:u w:val="single"/>
              </w:rPr>
              <w:t xml:space="preserve">Fall </w:t>
            </w:r>
            <w:r w:rsidR="00785DB2" w:rsidRPr="00C707BD">
              <w:rPr>
                <w:rFonts w:ascii="Arial Narrow" w:eastAsia="MS Mincho" w:hAnsi="Arial Narrow" w:cs="Arial"/>
                <w:sz w:val="22"/>
                <w:szCs w:val="22"/>
                <w:u w:val="single"/>
              </w:rPr>
              <w:t>10</w:t>
            </w:r>
            <w:r w:rsidR="00785DB2"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 semester</w:t>
            </w:r>
            <w:r w:rsidR="00BC712F"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 had 66</w:t>
            </w:r>
            <w:r w:rsidR="00785DB2"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 evaluation</w:t>
            </w:r>
            <w:r w:rsidR="00BC712F" w:rsidRPr="00C707BD">
              <w:rPr>
                <w:rFonts w:ascii="Arial Narrow" w:eastAsia="MS Mincho" w:hAnsi="Arial Narrow" w:cs="Arial"/>
                <w:sz w:val="22"/>
                <w:szCs w:val="22"/>
              </w:rPr>
              <w:t>s</w:t>
            </w:r>
            <w:r w:rsidR="00785DB2"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 performed on individual students with </w:t>
            </w:r>
            <w:r w:rsidR="00BC712F" w:rsidRPr="00C707BD">
              <w:rPr>
                <w:rFonts w:ascii="Arial Narrow" w:eastAsia="MS Mincho" w:hAnsi="Arial Narrow" w:cs="Arial"/>
                <w:sz w:val="22"/>
                <w:szCs w:val="22"/>
              </w:rPr>
              <w:t>3 percent (2) with a D, 42.4 percent (28) with a C, 50</w:t>
            </w:r>
            <w:r w:rsidR="00785DB2"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 </w:t>
            </w:r>
            <w:r w:rsidR="003F3EB8" w:rsidRPr="00C707BD">
              <w:rPr>
                <w:rFonts w:ascii="Arial Narrow" w:eastAsia="MS Mincho" w:hAnsi="Arial Narrow" w:cs="Arial"/>
                <w:sz w:val="22"/>
                <w:szCs w:val="22"/>
              </w:rPr>
              <w:t>percent</w:t>
            </w:r>
            <w:r w:rsidR="00BC712F"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 (33) with a B, and 4.5 percent (3</w:t>
            </w:r>
            <w:r w:rsidR="00785DB2"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) with an A.  The students also do </w:t>
            </w:r>
            <w:r w:rsidR="00BC712F"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2 </w:t>
            </w:r>
            <w:r w:rsidR="00785DB2" w:rsidRPr="00C707BD">
              <w:rPr>
                <w:rFonts w:ascii="Arial Narrow" w:eastAsia="MS Mincho" w:hAnsi="Arial Narrow" w:cs="Arial"/>
                <w:sz w:val="22"/>
                <w:szCs w:val="22"/>
              </w:rPr>
              <w:t>case studies per semester there were 66 case studies for this semester.  The grade break do</w:t>
            </w:r>
            <w:r w:rsidR="00BC712F" w:rsidRPr="00C707BD">
              <w:rPr>
                <w:rFonts w:ascii="Arial Narrow" w:eastAsia="MS Mincho" w:hAnsi="Arial Narrow" w:cs="Arial"/>
                <w:sz w:val="22"/>
                <w:szCs w:val="22"/>
              </w:rPr>
              <w:t>w</w:t>
            </w:r>
            <w:r w:rsidR="00785DB2" w:rsidRPr="00C707BD">
              <w:rPr>
                <w:rFonts w:ascii="Arial Narrow" w:eastAsia="MS Mincho" w:hAnsi="Arial Narrow" w:cs="Arial"/>
                <w:sz w:val="22"/>
                <w:szCs w:val="22"/>
              </w:rPr>
              <w:t>n consisted of</w:t>
            </w:r>
            <w:r w:rsidR="00BC712F"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 7.5 percent (5) with a D, 33.3 percent (22</w:t>
            </w:r>
            <w:r w:rsidR="003F3EB8" w:rsidRPr="00C707BD">
              <w:rPr>
                <w:rFonts w:ascii="Arial Narrow" w:eastAsia="MS Mincho" w:hAnsi="Arial Narrow" w:cs="Arial"/>
                <w:sz w:val="22"/>
                <w:szCs w:val="22"/>
              </w:rPr>
              <w:t>) wi</w:t>
            </w:r>
            <w:r w:rsidR="00BC712F" w:rsidRPr="00C707BD">
              <w:rPr>
                <w:rFonts w:ascii="Arial Narrow" w:eastAsia="MS Mincho" w:hAnsi="Arial Narrow" w:cs="Arial"/>
                <w:sz w:val="22"/>
                <w:szCs w:val="22"/>
              </w:rPr>
              <w:t>th a C, 45.5 percent (30</w:t>
            </w:r>
            <w:r w:rsidR="003F3EB8" w:rsidRPr="00C707BD">
              <w:rPr>
                <w:rFonts w:ascii="Arial Narrow" w:eastAsia="MS Mincho" w:hAnsi="Arial Narrow" w:cs="Arial"/>
                <w:sz w:val="22"/>
                <w:szCs w:val="22"/>
              </w:rPr>
              <w:t>) with a B, and 4</w:t>
            </w:r>
            <w:r w:rsidR="00BC712F" w:rsidRPr="00C707BD">
              <w:rPr>
                <w:rFonts w:ascii="Arial Narrow" w:eastAsia="MS Mincho" w:hAnsi="Arial Narrow" w:cs="Arial"/>
                <w:sz w:val="22"/>
                <w:szCs w:val="22"/>
              </w:rPr>
              <w:t>.5</w:t>
            </w:r>
            <w:r w:rsidR="003F3EB8"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 percent (3) with an A.</w:t>
            </w:r>
          </w:p>
        </w:tc>
      </w:tr>
      <w:tr w:rsidR="008B452B" w:rsidRPr="00C707BD" w:rsidTr="00C707BD">
        <w:tc>
          <w:tcPr>
            <w:tcW w:w="2358" w:type="dxa"/>
          </w:tcPr>
          <w:p w:rsidR="008B452B" w:rsidRPr="00C707BD" w:rsidRDefault="008B452B" w:rsidP="008B452B">
            <w:pPr>
              <w:keepNext/>
              <w:spacing w:before="240" w:after="120"/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C707BD">
              <w:rPr>
                <w:rFonts w:ascii="Arial Narrow" w:eastAsia="MS Mincho" w:hAnsi="Arial Narrow" w:cs="Arial"/>
                <w:sz w:val="20"/>
                <w:szCs w:val="20"/>
              </w:rPr>
              <w:t>4. Course / Program Improvement</w:t>
            </w:r>
          </w:p>
          <w:p w:rsidR="008B452B" w:rsidRPr="00C707BD" w:rsidRDefault="008B452B" w:rsidP="008B452B">
            <w:pPr>
              <w:keepNext/>
              <w:spacing w:before="240" w:after="120"/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C707BD">
              <w:rPr>
                <w:rFonts w:ascii="Arial Narrow" w:eastAsia="MS Mincho" w:hAnsi="Arial Narrow" w:cs="Arial"/>
                <w:sz w:val="20"/>
                <w:szCs w:val="20"/>
              </w:rPr>
              <w:t>Please describe what change(s) you plan to imple</w:t>
            </w:r>
            <w:r w:rsidR="00C707BD">
              <w:rPr>
                <w:rFonts w:ascii="Arial Narrow" w:eastAsia="MS Mincho" w:hAnsi="Arial Narrow" w:cs="Arial"/>
                <w:sz w:val="20"/>
                <w:szCs w:val="20"/>
              </w:rPr>
              <w:t>ment based on the above results</w:t>
            </w:r>
          </w:p>
        </w:tc>
        <w:tc>
          <w:tcPr>
            <w:tcW w:w="8820" w:type="dxa"/>
          </w:tcPr>
          <w:p w:rsidR="008B452B" w:rsidRPr="00C707BD" w:rsidRDefault="003F3EB8" w:rsidP="008B452B">
            <w:pPr>
              <w:keepNext/>
              <w:spacing w:before="240" w:after="120"/>
              <w:rPr>
                <w:rFonts w:ascii="Arial Narrow" w:eastAsia="MS Mincho" w:hAnsi="Arial Narrow" w:cs="Arial"/>
                <w:sz w:val="22"/>
                <w:szCs w:val="22"/>
              </w:rPr>
            </w:pPr>
            <w:r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The </w:t>
            </w:r>
            <w:proofErr w:type="spellStart"/>
            <w:r w:rsidRPr="00C707BD">
              <w:rPr>
                <w:rFonts w:ascii="Arial Narrow" w:eastAsia="MS Mincho" w:hAnsi="Arial Narrow" w:cs="Arial"/>
                <w:sz w:val="22"/>
                <w:szCs w:val="22"/>
              </w:rPr>
              <w:t>SLO’s</w:t>
            </w:r>
            <w:proofErr w:type="spellEnd"/>
            <w:r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 </w:t>
            </w:r>
            <w:proofErr w:type="gramStart"/>
            <w:r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were </w:t>
            </w:r>
            <w:r w:rsidR="003B2432" w:rsidRPr="00C707BD">
              <w:rPr>
                <w:rFonts w:ascii="Arial Narrow" w:eastAsia="MS Mincho" w:hAnsi="Arial Narrow" w:cs="Arial"/>
                <w:sz w:val="22"/>
                <w:szCs w:val="22"/>
              </w:rPr>
              <w:t>not met</w:t>
            </w:r>
            <w:proofErr w:type="gramEnd"/>
            <w:r w:rsidR="003B2432"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 with the first SLO.  We were looking for 75 % passing the comprehensive ATI and only 49% passed at a 75%.  The comprehensive predictor is a total program evaluation and is more than one semester.  We need to revisit the </w:t>
            </w:r>
            <w:proofErr w:type="spellStart"/>
            <w:r w:rsidR="003B2432" w:rsidRPr="00C707BD">
              <w:rPr>
                <w:rFonts w:ascii="Arial Narrow" w:eastAsia="MS Mincho" w:hAnsi="Arial Narrow" w:cs="Arial"/>
                <w:sz w:val="22"/>
                <w:szCs w:val="22"/>
              </w:rPr>
              <w:t>SLO’s</w:t>
            </w:r>
            <w:proofErr w:type="spellEnd"/>
            <w:r w:rsidR="003B2432"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 to determine if we are asking the right questions to determine the students’ knowledge and </w:t>
            </w:r>
            <w:r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performance.  Further evaluation is necessary to determine this answer and because of such continued </w:t>
            </w:r>
            <w:proofErr w:type="gramStart"/>
            <w:r w:rsidRPr="00C707BD">
              <w:rPr>
                <w:rFonts w:ascii="Arial Narrow" w:eastAsia="MS Mincho" w:hAnsi="Arial Narrow" w:cs="Arial"/>
                <w:sz w:val="22"/>
                <w:szCs w:val="22"/>
              </w:rPr>
              <w:t>monitoring</w:t>
            </w:r>
            <w:proofErr w:type="gramEnd"/>
            <w:r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 is necessary</w:t>
            </w:r>
            <w:r w:rsidR="003B2432" w:rsidRPr="00C707BD">
              <w:rPr>
                <w:rFonts w:ascii="Arial Narrow" w:eastAsia="MS Mincho" w:hAnsi="Arial Narrow" w:cs="Arial"/>
                <w:sz w:val="22"/>
                <w:szCs w:val="22"/>
              </w:rPr>
              <w:t>.</w:t>
            </w:r>
          </w:p>
          <w:p w:rsidR="008B452B" w:rsidRPr="00C707BD" w:rsidRDefault="008B452B" w:rsidP="008B452B">
            <w:pPr>
              <w:keepNext/>
              <w:spacing w:before="240" w:after="120"/>
              <w:rPr>
                <w:rFonts w:ascii="Arial Narrow" w:eastAsia="MS Mincho" w:hAnsi="Arial Narrow" w:cs="Arial"/>
                <w:sz w:val="22"/>
                <w:szCs w:val="22"/>
                <w:u w:val="single"/>
              </w:rPr>
            </w:pPr>
            <w:r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**Will this include a change to the curriculum (i.e. course outline)?  </w:t>
            </w:r>
            <w:r w:rsidRPr="00C707BD">
              <w:rPr>
                <w:rFonts w:ascii="Arial Narrow" w:eastAsia="MS Mincho" w:hAnsi="Arial Narrow" w:cs="Arial"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8B452B" w:rsidRPr="00C707BD" w:rsidTr="00C707BD">
        <w:tc>
          <w:tcPr>
            <w:tcW w:w="2358" w:type="dxa"/>
          </w:tcPr>
          <w:p w:rsidR="008B452B" w:rsidRPr="00C707BD" w:rsidRDefault="008B452B" w:rsidP="008B452B">
            <w:pPr>
              <w:keepNext/>
              <w:spacing w:before="240" w:after="120"/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C707BD">
              <w:rPr>
                <w:rFonts w:ascii="Arial Narrow" w:eastAsia="MS Mincho" w:hAnsi="Arial Narrow" w:cs="Arial"/>
                <w:sz w:val="20"/>
                <w:szCs w:val="20"/>
              </w:rPr>
              <w:t xml:space="preserve">5. Next Year </w:t>
            </w:r>
            <w:r w:rsidR="006A6446" w:rsidRPr="00C707BD">
              <w:rPr>
                <w:rFonts w:ascii="Arial Narrow" w:eastAsia="MS Mincho" w:hAnsi="Arial Narrow" w:cs="Arial"/>
                <w:sz w:val="20"/>
                <w:szCs w:val="20"/>
              </w:rPr>
              <w:t xml:space="preserve">      </w:t>
            </w:r>
            <w:r w:rsidRPr="00C707BD">
              <w:rPr>
                <w:rFonts w:ascii="Arial Narrow" w:eastAsia="MS Mincho" w:hAnsi="Arial Narrow" w:cs="Arial"/>
                <w:sz w:val="20"/>
                <w:szCs w:val="20"/>
              </w:rPr>
              <w:t xml:space="preserve">Was the process </w:t>
            </w:r>
            <w:proofErr w:type="gramStart"/>
            <w:r w:rsidRPr="00C707BD">
              <w:rPr>
                <w:rFonts w:ascii="Arial Narrow" w:eastAsia="MS Mincho" w:hAnsi="Arial Narrow" w:cs="Arial"/>
                <w:sz w:val="20"/>
                <w:szCs w:val="20"/>
              </w:rPr>
              <w:t>effective?</w:t>
            </w:r>
            <w:proofErr w:type="gramEnd"/>
            <w:r w:rsidRPr="00C707BD">
              <w:rPr>
                <w:rFonts w:ascii="Arial Narrow" w:eastAsia="MS Mincho" w:hAnsi="Arial Narrow" w:cs="Arial"/>
                <w:sz w:val="20"/>
                <w:szCs w:val="20"/>
              </w:rPr>
              <w:t xml:space="preserve">  Will you change the outcome/ assessment for next year? </w:t>
            </w:r>
            <w:proofErr w:type="gramStart"/>
            <w:r w:rsidRPr="00C707BD">
              <w:rPr>
                <w:rFonts w:ascii="Arial Narrow" w:eastAsia="MS Mincho" w:hAnsi="Arial Narrow" w:cs="Arial"/>
                <w:sz w:val="20"/>
                <w:szCs w:val="20"/>
              </w:rPr>
              <w:t>(e.g., alter the SLO, assessment, faculty discussion process, strategy for providing SLO to student)?</w:t>
            </w:r>
            <w:proofErr w:type="gramEnd"/>
            <w:r w:rsidRPr="00C707BD">
              <w:rPr>
                <w:rFonts w:ascii="Arial Narrow" w:eastAsia="MS Mincho" w:hAnsi="Arial Narrow" w:cs="Arial"/>
                <w:sz w:val="20"/>
                <w:szCs w:val="20"/>
              </w:rPr>
              <w:t xml:space="preserve"> </w:t>
            </w:r>
            <w:proofErr w:type="gramStart"/>
            <w:r w:rsidRPr="00C707BD">
              <w:rPr>
                <w:rFonts w:ascii="Arial Narrow" w:eastAsia="MS Mincho" w:hAnsi="Arial Narrow" w:cs="Arial"/>
                <w:sz w:val="20"/>
                <w:szCs w:val="20"/>
              </w:rPr>
              <w:t>If so, how?</w:t>
            </w:r>
            <w:proofErr w:type="gramEnd"/>
          </w:p>
        </w:tc>
        <w:tc>
          <w:tcPr>
            <w:tcW w:w="8820" w:type="dxa"/>
          </w:tcPr>
          <w:p w:rsidR="008B452B" w:rsidRPr="00C707BD" w:rsidRDefault="003F3EB8" w:rsidP="008B452B">
            <w:pPr>
              <w:keepNext/>
              <w:spacing w:before="240" w:after="120"/>
              <w:rPr>
                <w:rFonts w:ascii="Arial Narrow" w:eastAsia="MS Mincho" w:hAnsi="Arial Narrow" w:cs="Arial"/>
                <w:sz w:val="22"/>
                <w:szCs w:val="22"/>
              </w:rPr>
            </w:pPr>
            <w:r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We will continue to monitor per semester and group the data per semester </w:t>
            </w:r>
            <w:proofErr w:type="gramStart"/>
            <w:r w:rsidRPr="00C707BD">
              <w:rPr>
                <w:rFonts w:ascii="Arial Narrow" w:eastAsia="MS Mincho" w:hAnsi="Arial Narrow" w:cs="Arial"/>
                <w:sz w:val="22"/>
                <w:szCs w:val="22"/>
              </w:rPr>
              <w:t>to further analyze</w:t>
            </w:r>
            <w:proofErr w:type="gramEnd"/>
            <w:r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 the data</w:t>
            </w:r>
            <w:r w:rsidR="003B2432" w:rsidRPr="00C707BD">
              <w:rPr>
                <w:rFonts w:ascii="Arial Narrow" w:eastAsia="MS Mincho" w:hAnsi="Arial Narrow" w:cs="Arial"/>
                <w:sz w:val="22"/>
                <w:szCs w:val="22"/>
              </w:rPr>
              <w:t>.</w:t>
            </w:r>
          </w:p>
        </w:tc>
      </w:tr>
      <w:tr w:rsidR="008B452B" w:rsidRPr="00C707BD" w:rsidTr="00C707BD">
        <w:trPr>
          <w:trHeight w:val="263"/>
        </w:trPr>
        <w:tc>
          <w:tcPr>
            <w:tcW w:w="2358" w:type="dxa"/>
          </w:tcPr>
          <w:p w:rsidR="00AD1179" w:rsidRPr="00C707BD" w:rsidRDefault="008B452B" w:rsidP="00AD1179">
            <w:pPr>
              <w:keepNext/>
              <w:spacing w:before="240" w:after="120"/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C707BD">
              <w:rPr>
                <w:rFonts w:ascii="Arial Narrow" w:eastAsia="MS Mincho" w:hAnsi="Arial Narrow" w:cs="Arial"/>
                <w:sz w:val="20"/>
                <w:szCs w:val="20"/>
              </w:rPr>
              <w:t>6. After-Thoughts Feel free to celebrate, vent, o</w:t>
            </w:r>
            <w:r w:rsidR="00C707BD">
              <w:rPr>
                <w:rFonts w:ascii="Arial Narrow" w:eastAsia="MS Mincho" w:hAnsi="Arial Narrow" w:cs="Arial"/>
                <w:sz w:val="20"/>
                <w:szCs w:val="20"/>
              </w:rPr>
              <w:t>r otherwise discuss the process</w:t>
            </w:r>
            <w:bookmarkStart w:id="0" w:name="_GoBack"/>
            <w:bookmarkEnd w:id="0"/>
          </w:p>
        </w:tc>
        <w:tc>
          <w:tcPr>
            <w:tcW w:w="8820" w:type="dxa"/>
          </w:tcPr>
          <w:p w:rsidR="008B452B" w:rsidRPr="00C707BD" w:rsidRDefault="003F3EB8" w:rsidP="008B452B">
            <w:pPr>
              <w:keepNext/>
              <w:spacing w:before="240" w:after="120"/>
              <w:rPr>
                <w:rFonts w:ascii="Arial Narrow" w:eastAsia="MS Mincho" w:hAnsi="Arial Narrow" w:cs="Arial"/>
                <w:sz w:val="22"/>
                <w:szCs w:val="22"/>
              </w:rPr>
            </w:pPr>
            <w:r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This process is necessary and needs to be reviewed </w:t>
            </w:r>
            <w:r w:rsidR="000705ED" w:rsidRPr="00C707BD">
              <w:rPr>
                <w:rFonts w:ascii="Arial Narrow" w:eastAsia="MS Mincho" w:hAnsi="Arial Narrow" w:cs="Arial"/>
                <w:sz w:val="22"/>
                <w:szCs w:val="22"/>
              </w:rPr>
              <w:t>continually</w:t>
            </w:r>
            <w:r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 to ensure that they instruction and material is </w:t>
            </w:r>
            <w:r w:rsidR="000705ED" w:rsidRPr="00C707BD">
              <w:rPr>
                <w:rFonts w:ascii="Arial Narrow" w:eastAsia="MS Mincho" w:hAnsi="Arial Narrow" w:cs="Arial"/>
                <w:sz w:val="22"/>
                <w:szCs w:val="22"/>
              </w:rPr>
              <w:t>relevant</w:t>
            </w:r>
            <w:r w:rsidRPr="00C707BD">
              <w:rPr>
                <w:rFonts w:ascii="Arial Narrow" w:eastAsia="MS Mincho" w:hAnsi="Arial Narrow" w:cs="Arial"/>
                <w:sz w:val="22"/>
                <w:szCs w:val="22"/>
              </w:rPr>
              <w:t xml:space="preserve"> and learned.</w:t>
            </w:r>
          </w:p>
        </w:tc>
      </w:tr>
    </w:tbl>
    <w:p w:rsidR="00AF53E2" w:rsidRPr="00AF53E2" w:rsidRDefault="00AF53E2" w:rsidP="00AF53E2">
      <w:pPr>
        <w:rPr>
          <w:vanish/>
        </w:rPr>
      </w:pPr>
    </w:p>
    <w:p w:rsidR="005F5C72" w:rsidRDefault="005F5C72" w:rsidP="008B452B">
      <w:pPr>
        <w:jc w:val="center"/>
        <w:rPr>
          <w:b/>
        </w:rPr>
      </w:pPr>
    </w:p>
    <w:sectPr w:rsidR="005F5C72" w:rsidSect="005F5C72">
      <w:footerReference w:type="default" r:id="rId9"/>
      <w:footnotePr>
        <w:pos w:val="beneathText"/>
      </w:footnotePr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A38" w:rsidRDefault="001C2A38">
      <w:r>
        <w:separator/>
      </w:r>
    </w:p>
  </w:endnote>
  <w:endnote w:type="continuationSeparator" w:id="0">
    <w:p w:rsidR="001C2A38" w:rsidRDefault="001C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2B" w:rsidRDefault="008B452B">
    <w:pPr>
      <w:pStyle w:val="Footer"/>
      <w:jc w:val="right"/>
    </w:pPr>
    <w:r>
      <w:fldChar w:fldCharType="begin"/>
    </w:r>
    <w:r>
      <w:instrText xml:space="preserve"> DATE \@ "M/d/yyyy h:mm am/pm" </w:instrText>
    </w:r>
    <w:r>
      <w:fldChar w:fldCharType="separate"/>
    </w:r>
    <w:r w:rsidR="00C707BD">
      <w:rPr>
        <w:noProof/>
      </w:rPr>
      <w:t>9/18/2012 8:33 AM</w:t>
    </w:r>
    <w:r>
      <w:fldChar w:fldCharType="end"/>
    </w:r>
    <w:r>
      <w:t xml:space="preserve">              </w:t>
    </w:r>
    <w:r>
      <w:fldChar w:fldCharType="begin"/>
    </w:r>
    <w:r>
      <w:instrText xml:space="preserve"> PAGE   \* MERGEFORMAT </w:instrText>
    </w:r>
    <w:r>
      <w:fldChar w:fldCharType="separate"/>
    </w:r>
    <w:r w:rsidR="00C707BD">
      <w:rPr>
        <w:noProof/>
      </w:rPr>
      <w:t>1</w:t>
    </w:r>
    <w:r>
      <w:fldChar w:fldCharType="end"/>
    </w:r>
  </w:p>
  <w:p w:rsidR="008B452B" w:rsidRDefault="008B45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A38" w:rsidRDefault="001C2A38">
      <w:r>
        <w:separator/>
      </w:r>
    </w:p>
  </w:footnote>
  <w:footnote w:type="continuationSeparator" w:id="0">
    <w:p w:rsidR="001C2A38" w:rsidRDefault="001C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2B"/>
    <w:rsid w:val="00046F1C"/>
    <w:rsid w:val="000705ED"/>
    <w:rsid w:val="0007797E"/>
    <w:rsid w:val="00185E40"/>
    <w:rsid w:val="001C2A38"/>
    <w:rsid w:val="001F744A"/>
    <w:rsid w:val="002D239B"/>
    <w:rsid w:val="0030293E"/>
    <w:rsid w:val="00393640"/>
    <w:rsid w:val="003B2432"/>
    <w:rsid w:val="003F3EB8"/>
    <w:rsid w:val="003F4674"/>
    <w:rsid w:val="0040673F"/>
    <w:rsid w:val="0045600B"/>
    <w:rsid w:val="004F0B38"/>
    <w:rsid w:val="00547520"/>
    <w:rsid w:val="00572E92"/>
    <w:rsid w:val="005C6C7E"/>
    <w:rsid w:val="005F5C72"/>
    <w:rsid w:val="00676A99"/>
    <w:rsid w:val="006A6446"/>
    <w:rsid w:val="00722FE3"/>
    <w:rsid w:val="00785DB2"/>
    <w:rsid w:val="00791B06"/>
    <w:rsid w:val="007F4E2C"/>
    <w:rsid w:val="008B452B"/>
    <w:rsid w:val="008B6009"/>
    <w:rsid w:val="0090786B"/>
    <w:rsid w:val="0091557D"/>
    <w:rsid w:val="00970E86"/>
    <w:rsid w:val="00A41E91"/>
    <w:rsid w:val="00AD1179"/>
    <w:rsid w:val="00AF53E2"/>
    <w:rsid w:val="00AF694C"/>
    <w:rsid w:val="00BC712F"/>
    <w:rsid w:val="00C53D9D"/>
    <w:rsid w:val="00C6785B"/>
    <w:rsid w:val="00C707BD"/>
    <w:rsid w:val="00C85412"/>
    <w:rsid w:val="00D15657"/>
    <w:rsid w:val="00D53FF4"/>
    <w:rsid w:val="00D810DF"/>
    <w:rsid w:val="00DF3C29"/>
    <w:rsid w:val="00EE2B30"/>
    <w:rsid w:val="00F8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i.pfister@imperial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Valley College</Company>
  <LinksUpToDate>false</LinksUpToDate>
  <CharactersWithSpaces>5613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Pfister</dc:creator>
  <cp:lastModifiedBy>Tina</cp:lastModifiedBy>
  <cp:revision>2</cp:revision>
  <cp:lastPrinted>2010-12-24T16:06:00Z</cp:lastPrinted>
  <dcterms:created xsi:type="dcterms:W3CDTF">2012-09-18T15:36:00Z</dcterms:created>
  <dcterms:modified xsi:type="dcterms:W3CDTF">2012-09-18T15:36:00Z</dcterms:modified>
</cp:coreProperties>
</file>