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2B" w:rsidRDefault="008B452B" w:rsidP="008B452B">
      <w:pPr>
        <w:ind w:left="720"/>
        <w:jc w:val="center"/>
        <w:rPr>
          <w:b/>
          <w:sz w:val="28"/>
          <w:szCs w:val="28"/>
        </w:rPr>
      </w:pPr>
      <w:bookmarkStart w:id="0" w:name="_GoBack"/>
      <w:bookmarkEnd w:id="0"/>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r w:rsidR="005F5C72">
        <w:rPr>
          <w:b/>
          <w:sz w:val="28"/>
          <w:szCs w:val="28"/>
        </w:rPr>
        <w:t xml:space="preserve"> – Phase I</w:t>
      </w:r>
    </w:p>
    <w:tbl>
      <w:tblPr>
        <w:tblW w:w="0" w:type="auto"/>
        <w:tblLayout w:type="fixed"/>
        <w:tblLook w:val="0000" w:firstRow="0" w:lastRow="0" w:firstColumn="0" w:lastColumn="0" w:noHBand="0" w:noVBand="0"/>
      </w:tblPr>
      <w:tblGrid>
        <w:gridCol w:w="2088"/>
        <w:gridCol w:w="6820"/>
        <w:gridCol w:w="236"/>
        <w:gridCol w:w="1738"/>
      </w:tblGrid>
      <w:tr w:rsidR="008B6009" w:rsidTr="00647853">
        <w:tc>
          <w:tcPr>
            <w:tcW w:w="2088" w:type="dxa"/>
          </w:tcPr>
          <w:p w:rsidR="008B6009" w:rsidRDefault="008B6009" w:rsidP="008B452B">
            <w:pPr>
              <w:snapToGrid w:val="0"/>
              <w:jc w:val="right"/>
            </w:pPr>
            <w:r>
              <w:t>Date:</w:t>
            </w:r>
          </w:p>
        </w:tc>
        <w:tc>
          <w:tcPr>
            <w:tcW w:w="6820" w:type="dxa"/>
            <w:tcBorders>
              <w:top w:val="single" w:sz="4" w:space="0" w:color="000000"/>
              <w:left w:val="single" w:sz="4" w:space="0" w:color="000000"/>
              <w:bottom w:val="single" w:sz="4" w:space="0" w:color="000000"/>
              <w:right w:val="single" w:sz="4" w:space="0" w:color="auto"/>
            </w:tcBorders>
          </w:tcPr>
          <w:p w:rsidR="008B6009" w:rsidRDefault="00855303" w:rsidP="00855303">
            <w:pPr>
              <w:snapToGrid w:val="0"/>
            </w:pPr>
            <w:r>
              <w:t>November  12, 2010</w:t>
            </w:r>
            <w:r w:rsidR="00647853">
              <w:t xml:space="preserve">  /   cycle assessment completed Spring 2011</w:t>
            </w:r>
          </w:p>
        </w:tc>
        <w:tc>
          <w:tcPr>
            <w:tcW w:w="236"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647853">
        <w:tc>
          <w:tcPr>
            <w:tcW w:w="2088" w:type="dxa"/>
          </w:tcPr>
          <w:p w:rsidR="008B452B" w:rsidRDefault="008B452B" w:rsidP="008B452B">
            <w:pPr>
              <w:snapToGrid w:val="0"/>
              <w:jc w:val="right"/>
            </w:pPr>
            <w:r>
              <w:t>Department Name:</w:t>
            </w:r>
          </w:p>
        </w:tc>
        <w:tc>
          <w:tcPr>
            <w:tcW w:w="6820" w:type="dxa"/>
            <w:tcBorders>
              <w:top w:val="single" w:sz="4" w:space="0" w:color="000000"/>
              <w:left w:val="single" w:sz="4" w:space="0" w:color="000000"/>
              <w:bottom w:val="single" w:sz="4" w:space="0" w:color="000000"/>
              <w:right w:val="single" w:sz="4" w:space="0" w:color="auto"/>
            </w:tcBorders>
          </w:tcPr>
          <w:p w:rsidR="008B452B" w:rsidRDefault="00855303" w:rsidP="008B452B">
            <w:pPr>
              <w:snapToGrid w:val="0"/>
            </w:pPr>
            <w:r>
              <w:t>Division of Health and Public Safety</w:t>
            </w:r>
          </w:p>
        </w:tc>
        <w:tc>
          <w:tcPr>
            <w:tcW w:w="236"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firstRow="0" w:lastRow="0" w:firstColumn="0" w:lastColumn="0" w:noHBand="0" w:noVBand="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855303" w:rsidP="008B452B">
            <w:pPr>
              <w:snapToGrid w:val="0"/>
            </w:pPr>
            <w:r>
              <w:t>NUR 110- Nursing Process Application I</w:t>
            </w:r>
          </w:p>
        </w:tc>
      </w:tr>
    </w:tbl>
    <w:p w:rsidR="008B452B" w:rsidRDefault="008B452B" w:rsidP="008B452B"/>
    <w:tbl>
      <w:tblPr>
        <w:tblW w:w="0" w:type="auto"/>
        <w:tblLayout w:type="fixed"/>
        <w:tblLook w:val="0000" w:firstRow="0" w:lastRow="0" w:firstColumn="0" w:lastColumn="0" w:noHBand="0" w:noVBand="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855303">
            <w:pPr>
              <w:snapToGrid w:val="0"/>
            </w:pPr>
            <w:r>
              <w:t xml:space="preserve">Lead:    </w:t>
            </w:r>
            <w:r w:rsidR="00855303" w:rsidRPr="00855303">
              <w:rPr>
                <w:sz w:val="28"/>
                <w:szCs w:val="28"/>
              </w:rPr>
              <w:t>Jean Stroud</w:t>
            </w:r>
            <w:r>
              <w:t xml:space="preserve">                    Others:</w:t>
            </w:r>
            <w:r w:rsidR="00855303">
              <w:t xml:space="preserve">   </w:t>
            </w:r>
            <w:r w:rsidR="00855303" w:rsidRPr="00855303">
              <w:rPr>
                <w:sz w:val="28"/>
                <w:szCs w:val="28"/>
              </w:rPr>
              <w:t>Rosalba Jepson</w:t>
            </w:r>
          </w:p>
        </w:tc>
      </w:tr>
    </w:tbl>
    <w:p w:rsidR="008B452B" w:rsidRDefault="008B452B" w:rsidP="008B452B"/>
    <w:tbl>
      <w:tblPr>
        <w:tblW w:w="28152" w:type="dxa"/>
        <w:tblLayout w:type="fixed"/>
        <w:tblLook w:val="0000" w:firstRow="0" w:lastRow="0" w:firstColumn="0" w:lastColumn="0" w:noHBand="0" w:noVBand="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55303" w:rsidP="008B452B">
            <w:pPr>
              <w:snapToGrid w:val="0"/>
            </w:pPr>
            <w:r>
              <w:t>Associate Degree Registered Nurse</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firstRow="0" w:lastRow="0" w:firstColumn="0" w:lastColumn="0" w:noHBand="0" w:noVBand="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firstRow="0" w:lastRow="0" w:firstColumn="0" w:lastColumn="0" w:noHBand="0" w:noVBand="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firstRow="0" w:lastRow="0" w:firstColumn="0" w:lastColumn="0" w:noHBand="0" w:noVBand="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5F5C72">
        <w:tblPrEx>
          <w:tblCellMar>
            <w:left w:w="108" w:type="dxa"/>
            <w:right w:w="108" w:type="dxa"/>
          </w:tblCellMar>
        </w:tblPrEx>
        <w:trPr>
          <w:gridAfter w:val="2"/>
          <w:wAfter w:w="888" w:type="dxa"/>
          <w:trHeight w:val="70"/>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left w:val="nil"/>
              <w:bottom w:val="single" w:sz="4" w:space="0" w:color="000000"/>
              <w:right w:val="single" w:sz="4" w:space="0" w:color="auto"/>
            </w:tcBorders>
          </w:tcPr>
          <w:p w:rsidR="008B452B" w:rsidRDefault="006A6446" w:rsidP="008B452B">
            <w:pPr>
              <w:snapToGrid w:val="0"/>
            </w:pPr>
            <w:r>
              <w:t>Outcome 1:</w:t>
            </w:r>
            <w:r w:rsidR="00855303">
              <w:t xml:space="preserve">   Students will demonstrate an understanding of basic fundamental nursing skills which will be evaluated</w:t>
            </w:r>
          </w:p>
          <w:p w:rsidR="008B452B" w:rsidRDefault="008B452B" w:rsidP="008B452B"/>
          <w:p w:rsidR="008B452B" w:rsidRDefault="008B452B" w:rsidP="008B452B"/>
        </w:tc>
        <w:tc>
          <w:tcPr>
            <w:tcW w:w="2610" w:type="dxa"/>
            <w:tcBorders>
              <w:left w:val="single" w:sz="4" w:space="0" w:color="auto"/>
              <w:bottom w:val="single" w:sz="4" w:space="0" w:color="000000"/>
            </w:tcBorders>
          </w:tcPr>
          <w:p w:rsidR="00855303" w:rsidRPr="00855303" w:rsidRDefault="00855303" w:rsidP="00855303">
            <w:pPr>
              <w:snapToGrid w:val="0"/>
              <w:rPr>
                <w:sz w:val="22"/>
                <w:szCs w:val="22"/>
              </w:rPr>
            </w:pPr>
            <w:r w:rsidRPr="00855303">
              <w:rPr>
                <w:sz w:val="22"/>
                <w:szCs w:val="22"/>
              </w:rPr>
              <w:t>Written tests passed at 75% or above.</w:t>
            </w:r>
          </w:p>
          <w:p w:rsidR="008B452B" w:rsidRDefault="00855303" w:rsidP="00855303">
            <w:pPr>
              <w:snapToGrid w:val="0"/>
            </w:pPr>
            <w:r w:rsidRPr="00855303">
              <w:rPr>
                <w:sz w:val="22"/>
                <w:szCs w:val="22"/>
              </w:rPr>
              <w:t>ATI Fundamental exam score passed at Level 1 or higher</w:t>
            </w:r>
          </w:p>
        </w:tc>
        <w:tc>
          <w:tcPr>
            <w:tcW w:w="2289" w:type="dxa"/>
            <w:gridSpan w:val="3"/>
            <w:tcBorders>
              <w:left w:val="single" w:sz="4" w:space="0" w:color="000000"/>
              <w:bottom w:val="single" w:sz="4" w:space="0" w:color="000000"/>
              <w:right w:val="single" w:sz="4" w:space="0" w:color="000000"/>
            </w:tcBorders>
          </w:tcPr>
          <w:p w:rsidR="008B452B" w:rsidRDefault="00855303" w:rsidP="008B452B">
            <w:pPr>
              <w:snapToGrid w:val="0"/>
            </w:pPr>
            <w:r>
              <w:t>ISLO1</w:t>
            </w:r>
          </w:p>
          <w:p w:rsidR="00855303" w:rsidRDefault="00855303" w:rsidP="008B452B">
            <w:pPr>
              <w:snapToGrid w:val="0"/>
            </w:pPr>
            <w:r>
              <w:t>ISLO2</w:t>
            </w:r>
          </w:p>
        </w:tc>
      </w:tr>
      <w:tr w:rsidR="005F5C72"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5C72" w:rsidRDefault="005F5C72" w:rsidP="008B452B">
            <w:pPr>
              <w:snapToGrid w:val="0"/>
            </w:pPr>
          </w:p>
        </w:tc>
        <w:tc>
          <w:tcPr>
            <w:tcW w:w="5884" w:type="dxa"/>
            <w:gridSpan w:val="4"/>
            <w:tcBorders>
              <w:left w:val="nil"/>
              <w:bottom w:val="single" w:sz="4" w:space="0" w:color="000000"/>
              <w:right w:val="single" w:sz="4" w:space="0" w:color="auto"/>
            </w:tcBorders>
          </w:tcPr>
          <w:p w:rsidR="005F5C72" w:rsidRDefault="005F5C72" w:rsidP="005F5C72">
            <w:pPr>
              <w:snapToGrid w:val="0"/>
            </w:pPr>
            <w:r>
              <w:t>Outcome 2:</w:t>
            </w:r>
            <w:r w:rsidR="00855303">
              <w:t xml:space="preserve">   Students will verbalize differences in caring for clients with varied backgrounds (age, culture and ethinicity)</w:t>
            </w:r>
          </w:p>
          <w:p w:rsidR="005F5C72" w:rsidRDefault="005F5C72" w:rsidP="005F5C72">
            <w:pPr>
              <w:snapToGrid w:val="0"/>
            </w:pPr>
          </w:p>
          <w:p w:rsidR="005F5C72" w:rsidRDefault="005F5C72" w:rsidP="008B452B">
            <w:pPr>
              <w:snapToGrid w:val="0"/>
            </w:pPr>
          </w:p>
        </w:tc>
        <w:tc>
          <w:tcPr>
            <w:tcW w:w="2610" w:type="dxa"/>
            <w:tcBorders>
              <w:left w:val="single" w:sz="4" w:space="0" w:color="auto"/>
              <w:bottom w:val="single" w:sz="4" w:space="0" w:color="000000"/>
            </w:tcBorders>
          </w:tcPr>
          <w:p w:rsidR="005F5C72" w:rsidRDefault="00855303" w:rsidP="008B452B">
            <w:pPr>
              <w:snapToGrid w:val="0"/>
            </w:pPr>
            <w:r>
              <w:t>Written test and application of l</w:t>
            </w:r>
            <w:r w:rsidR="00A86926">
              <w:t>e</w:t>
            </w:r>
            <w:r>
              <w:t>arned skills in the clinical setting</w:t>
            </w:r>
          </w:p>
        </w:tc>
        <w:tc>
          <w:tcPr>
            <w:tcW w:w="2289" w:type="dxa"/>
            <w:gridSpan w:val="3"/>
            <w:tcBorders>
              <w:left w:val="single" w:sz="4" w:space="0" w:color="000000"/>
              <w:bottom w:val="single" w:sz="4" w:space="0" w:color="000000"/>
              <w:right w:val="single" w:sz="4" w:space="0" w:color="000000"/>
            </w:tcBorders>
          </w:tcPr>
          <w:p w:rsidR="00A86926" w:rsidRDefault="00A86926" w:rsidP="00A86926">
            <w:pPr>
              <w:snapToGrid w:val="0"/>
            </w:pPr>
            <w:r>
              <w:t>ISLO1</w:t>
            </w:r>
          </w:p>
          <w:p w:rsidR="005F5C72" w:rsidRDefault="00A86926" w:rsidP="00A86926">
            <w:pPr>
              <w:snapToGrid w:val="0"/>
            </w:pPr>
            <w:r>
              <w:t>ISLO5</w:t>
            </w:r>
          </w:p>
        </w:tc>
      </w:tr>
      <w:tr w:rsidR="005F5C72"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5F5C72" w:rsidRDefault="005F5C72" w:rsidP="008B452B">
            <w:pPr>
              <w:snapToGrid w:val="0"/>
            </w:pPr>
          </w:p>
        </w:tc>
        <w:tc>
          <w:tcPr>
            <w:tcW w:w="5884" w:type="dxa"/>
            <w:gridSpan w:val="4"/>
            <w:tcBorders>
              <w:left w:val="nil"/>
              <w:bottom w:val="single" w:sz="4" w:space="0" w:color="000000"/>
              <w:right w:val="single" w:sz="4" w:space="0" w:color="auto"/>
            </w:tcBorders>
          </w:tcPr>
          <w:p w:rsidR="005F5C72" w:rsidRDefault="005F5C72" w:rsidP="005F5C72">
            <w:pPr>
              <w:snapToGrid w:val="0"/>
            </w:pPr>
            <w:r>
              <w:t>Outcome 3:</w:t>
            </w:r>
            <w:r w:rsidR="00855303">
              <w:t xml:space="preserve">   Students will apply at least ten of the 2010 Patient Safety Goals </w:t>
            </w:r>
          </w:p>
          <w:p w:rsidR="005F5C72" w:rsidRDefault="005F5C72" w:rsidP="008B452B">
            <w:pPr>
              <w:snapToGrid w:val="0"/>
            </w:pPr>
          </w:p>
        </w:tc>
        <w:tc>
          <w:tcPr>
            <w:tcW w:w="2610" w:type="dxa"/>
            <w:tcBorders>
              <w:left w:val="single" w:sz="4" w:space="0" w:color="auto"/>
              <w:bottom w:val="single" w:sz="4" w:space="0" w:color="000000"/>
            </w:tcBorders>
          </w:tcPr>
          <w:p w:rsidR="005F5C72" w:rsidRDefault="00855303" w:rsidP="008B452B">
            <w:pPr>
              <w:snapToGrid w:val="0"/>
            </w:pPr>
            <w:r>
              <w:t>Written test</w:t>
            </w:r>
            <w:r w:rsidR="00A86926">
              <w:t>, clinical observation</w:t>
            </w:r>
          </w:p>
        </w:tc>
        <w:tc>
          <w:tcPr>
            <w:tcW w:w="2289" w:type="dxa"/>
            <w:gridSpan w:val="3"/>
            <w:tcBorders>
              <w:left w:val="single" w:sz="4" w:space="0" w:color="000000"/>
              <w:bottom w:val="single" w:sz="4" w:space="0" w:color="000000"/>
              <w:right w:val="single" w:sz="4" w:space="0" w:color="000000"/>
            </w:tcBorders>
          </w:tcPr>
          <w:p w:rsidR="00A86926" w:rsidRDefault="00855303" w:rsidP="00A86926">
            <w:pPr>
              <w:snapToGrid w:val="0"/>
            </w:pPr>
            <w:r>
              <w:t>ISLO</w:t>
            </w:r>
            <w:r w:rsidR="00A86926">
              <w:t xml:space="preserve">2,  ISLO3  </w:t>
            </w:r>
          </w:p>
          <w:p w:rsidR="005F5C72" w:rsidRDefault="00855303" w:rsidP="00A86926">
            <w:pPr>
              <w:snapToGrid w:val="0"/>
            </w:pPr>
            <w:r>
              <w:t>ISLO</w:t>
            </w:r>
            <w:r w:rsidR="00A86926">
              <w:t>5</w:t>
            </w:r>
          </w:p>
        </w:tc>
      </w:tr>
    </w:tbl>
    <w:p w:rsidR="008B452B" w:rsidRPr="00855303" w:rsidRDefault="008B452B" w:rsidP="008B452B">
      <w:pPr>
        <w:ind w:right="-540"/>
        <w:rPr>
          <w:b/>
          <w:sz w:val="20"/>
          <w:szCs w:val="20"/>
        </w:rPr>
      </w:pPr>
      <w:r w:rsidRPr="00855303">
        <w:rPr>
          <w:b/>
          <w:sz w:val="20"/>
          <w:szCs w:val="20"/>
        </w:rPr>
        <w:t xml:space="preserve">Each SLO should describe the knowledge, skills, and/or abilities students will have after successful </w:t>
      </w:r>
    </w:p>
    <w:p w:rsidR="008B452B" w:rsidRPr="00855303" w:rsidRDefault="008B452B" w:rsidP="008B452B">
      <w:pPr>
        <w:ind w:right="-540"/>
        <w:rPr>
          <w:sz w:val="20"/>
          <w:szCs w:val="20"/>
        </w:rPr>
      </w:pPr>
      <w:proofErr w:type="gramStart"/>
      <w:r w:rsidRPr="00855303">
        <w:rPr>
          <w:b/>
          <w:sz w:val="20"/>
          <w:szCs w:val="20"/>
        </w:rPr>
        <w:t>completion</w:t>
      </w:r>
      <w:proofErr w:type="gramEnd"/>
      <w:r w:rsidRPr="00855303">
        <w:rPr>
          <w:b/>
          <w:sz w:val="20"/>
          <w:szCs w:val="20"/>
        </w:rPr>
        <w:t xml:space="preserve"> of course or as a result of participation in activity/program.  </w:t>
      </w:r>
      <w:r w:rsidRPr="00855303">
        <w:rPr>
          <w:sz w:val="20"/>
          <w:szCs w:val="20"/>
        </w:rPr>
        <w:t xml:space="preserve">A minimum of one SLO is required </w:t>
      </w:r>
    </w:p>
    <w:p w:rsidR="008B452B" w:rsidRPr="00855303" w:rsidRDefault="008B452B" w:rsidP="008B452B">
      <w:pPr>
        <w:ind w:right="-540"/>
        <w:rPr>
          <w:sz w:val="20"/>
          <w:szCs w:val="20"/>
        </w:rPr>
      </w:pPr>
      <w:proofErr w:type="gramStart"/>
      <w:r w:rsidRPr="00855303">
        <w:rPr>
          <w:sz w:val="20"/>
          <w:szCs w:val="20"/>
        </w:rPr>
        <w:t>per</w:t>
      </w:r>
      <w:proofErr w:type="gramEnd"/>
      <w:r w:rsidRPr="00855303">
        <w:rPr>
          <w:sz w:val="20"/>
          <w:szCs w:val="20"/>
        </w:rPr>
        <w:t xml:space="preserve"> course/program.  You may identify more than one SLO, but please note that you will need to collect and </w:t>
      </w:r>
    </w:p>
    <w:p w:rsidR="005F5C72" w:rsidRPr="00855303" w:rsidRDefault="008B452B" w:rsidP="008B452B">
      <w:pPr>
        <w:ind w:right="-540"/>
        <w:rPr>
          <w:i/>
          <w:sz w:val="20"/>
          <w:szCs w:val="20"/>
        </w:rPr>
      </w:pPr>
      <w:proofErr w:type="gramStart"/>
      <w:r w:rsidRPr="00855303">
        <w:rPr>
          <w:sz w:val="20"/>
          <w:szCs w:val="20"/>
        </w:rPr>
        <w:t>evaluate</w:t>
      </w:r>
      <w:proofErr w:type="gramEnd"/>
      <w:r w:rsidRPr="00855303">
        <w:rPr>
          <w:sz w:val="20"/>
          <w:szCs w:val="20"/>
        </w:rPr>
        <w:t xml:space="preserve"> data for each SLO that you list above.  Attach separate pages if needed.</w:t>
      </w:r>
      <w:r w:rsidRPr="00855303">
        <w:rPr>
          <w:i/>
          <w:sz w:val="20"/>
          <w:szCs w:val="20"/>
        </w:rPr>
        <w:t xml:space="preserve">   For assistance contact:  Toni Pfister</w:t>
      </w:r>
      <w:r w:rsidR="00A86926">
        <w:rPr>
          <w:i/>
          <w:sz w:val="20"/>
          <w:szCs w:val="20"/>
        </w:rPr>
        <w:t xml:space="preserve">                                              </w:t>
      </w:r>
      <w:r w:rsidRPr="00855303">
        <w:rPr>
          <w:i/>
          <w:sz w:val="20"/>
          <w:szCs w:val="20"/>
        </w:rPr>
        <w:t xml:space="preserve"> </w:t>
      </w:r>
      <w:hyperlink r:id="rId8" w:history="1">
        <w:r w:rsidRPr="00855303">
          <w:rPr>
            <w:rStyle w:val="Hyperlink"/>
            <w:i/>
            <w:sz w:val="20"/>
            <w:szCs w:val="20"/>
          </w:rPr>
          <w:t>toni.pfister@imperial.edu</w:t>
        </w:r>
      </w:hyperlink>
      <w:r w:rsidRPr="00855303">
        <w:rPr>
          <w:i/>
          <w:sz w:val="20"/>
          <w:szCs w:val="20"/>
        </w:rPr>
        <w:t xml:space="preserve"> or X6546</w:t>
      </w:r>
    </w:p>
    <w:p w:rsidR="008B452B" w:rsidRPr="00855303" w:rsidRDefault="008B452B" w:rsidP="008B452B">
      <w:pPr>
        <w:ind w:right="-540"/>
        <w:rPr>
          <w:sz w:val="20"/>
          <w:szCs w:val="20"/>
        </w:rPr>
      </w:pPr>
      <w:r w:rsidRPr="00855303">
        <w:rPr>
          <w:b/>
          <w:sz w:val="20"/>
          <w:szCs w:val="20"/>
        </w:rPr>
        <w:t>*Institutional Student Learning Outcomes:  ISLO1</w:t>
      </w:r>
      <w:r w:rsidRPr="00855303">
        <w:rPr>
          <w:sz w:val="20"/>
          <w:szCs w:val="20"/>
        </w:rPr>
        <w:t xml:space="preserve"> = communication skills; I</w:t>
      </w:r>
      <w:r w:rsidRPr="00855303">
        <w:rPr>
          <w:b/>
          <w:sz w:val="20"/>
          <w:szCs w:val="20"/>
        </w:rPr>
        <w:t>SLO2</w:t>
      </w:r>
      <w:r w:rsidRPr="00855303">
        <w:rPr>
          <w:sz w:val="20"/>
          <w:szCs w:val="20"/>
        </w:rPr>
        <w:t xml:space="preserve"> = critical thinking skills; </w:t>
      </w:r>
    </w:p>
    <w:p w:rsidR="008B452B" w:rsidRPr="00855303" w:rsidRDefault="008B452B" w:rsidP="008B452B">
      <w:pPr>
        <w:ind w:right="-540"/>
        <w:rPr>
          <w:i/>
          <w:sz w:val="20"/>
          <w:szCs w:val="20"/>
        </w:rPr>
      </w:pPr>
      <w:r w:rsidRPr="00855303">
        <w:rPr>
          <w:b/>
          <w:sz w:val="20"/>
          <w:szCs w:val="20"/>
        </w:rPr>
        <w:t>ISLO3</w:t>
      </w:r>
      <w:r w:rsidRPr="00855303">
        <w:rPr>
          <w:sz w:val="20"/>
          <w:szCs w:val="20"/>
        </w:rPr>
        <w:t xml:space="preserve"> = personal responsibility; I</w:t>
      </w:r>
      <w:r w:rsidRPr="00855303">
        <w:rPr>
          <w:b/>
          <w:sz w:val="20"/>
          <w:szCs w:val="20"/>
        </w:rPr>
        <w:t>SLO4</w:t>
      </w:r>
      <w:r w:rsidRPr="00855303">
        <w:rPr>
          <w:sz w:val="20"/>
          <w:szCs w:val="20"/>
        </w:rPr>
        <w:t xml:space="preserve"> = information literacy; I</w:t>
      </w:r>
      <w:r w:rsidRPr="00855303">
        <w:rPr>
          <w:b/>
          <w:sz w:val="20"/>
          <w:szCs w:val="20"/>
        </w:rPr>
        <w:t>SLO5</w:t>
      </w:r>
      <w:r w:rsidRPr="00855303">
        <w:rPr>
          <w:sz w:val="20"/>
          <w:szCs w:val="20"/>
        </w:rPr>
        <w:t xml:space="preserve"> = global awareness</w:t>
      </w:r>
      <w:r w:rsidRPr="00855303">
        <w:rPr>
          <w:sz w:val="20"/>
          <w:szCs w:val="20"/>
        </w:rPr>
        <w:tab/>
        <w:t xml:space="preserve">    </w:t>
      </w:r>
      <w:r w:rsidRPr="00855303">
        <w:rPr>
          <w:i/>
          <w:sz w:val="20"/>
          <w:szCs w:val="20"/>
        </w:rPr>
        <w:t xml:space="preserve"> </w:t>
      </w:r>
    </w:p>
    <w:p w:rsidR="008B452B" w:rsidRPr="00855303" w:rsidRDefault="008B452B" w:rsidP="008B452B">
      <w:pPr>
        <w:ind w:right="-540"/>
        <w:rPr>
          <w:i/>
          <w:sz w:val="20"/>
          <w:szCs w:val="20"/>
        </w:rPr>
      </w:pPr>
    </w:p>
    <w:p w:rsidR="008B452B" w:rsidRPr="005F5C72" w:rsidRDefault="008B452B" w:rsidP="005F5C72">
      <w:pPr>
        <w:ind w:left="720"/>
        <w:rPr>
          <w:b/>
          <w:sz w:val="28"/>
          <w:szCs w:val="28"/>
        </w:rPr>
      </w:pPr>
      <w:r w:rsidRPr="00463F57">
        <w:rPr>
          <w:i/>
          <w:sz w:val="20"/>
          <w:szCs w:val="20"/>
        </w:rPr>
        <w:tab/>
        <w:t xml:space="preserve">   </w:t>
      </w:r>
      <w:r w:rsidR="005F5C72">
        <w:rPr>
          <w:b/>
          <w:sz w:val="28"/>
          <w:szCs w:val="28"/>
        </w:rPr>
        <w:t>Student Learning Outcomes (SLO) Assessment Cycle Form – Phase II</w:t>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8100"/>
      </w:tblGrid>
      <w:tr w:rsidR="004F762F" w:rsidRPr="00C05341" w:rsidTr="00AF694C">
        <w:tc>
          <w:tcPr>
            <w:tcW w:w="2358" w:type="dxa"/>
          </w:tcPr>
          <w:p w:rsidR="004F762F" w:rsidRPr="005F5C72" w:rsidRDefault="004F762F" w:rsidP="004F762F">
            <w:pPr>
              <w:keepNext/>
              <w:spacing w:before="240" w:after="120"/>
              <w:rPr>
                <w:rFonts w:ascii="Arial" w:eastAsia="MS Mincho" w:hAnsi="Arial" w:cs="Arial"/>
                <w:b/>
                <w:bCs/>
                <w:sz w:val="20"/>
                <w:szCs w:val="20"/>
              </w:rPr>
            </w:pPr>
            <w:r w:rsidRPr="005F5C72">
              <w:rPr>
                <w:rFonts w:ascii="Arial" w:eastAsia="MS Mincho" w:hAnsi="Arial" w:cs="Arial"/>
                <w:b/>
                <w:bCs/>
                <w:sz w:val="20"/>
                <w:szCs w:val="20"/>
              </w:rPr>
              <w:t xml:space="preserve">1. Course Number &amp; Date of Assessment Cycle Completion </w:t>
            </w:r>
          </w:p>
        </w:tc>
        <w:tc>
          <w:tcPr>
            <w:tcW w:w="8100" w:type="dxa"/>
          </w:tcPr>
          <w:p w:rsidR="004F762F" w:rsidRPr="00FB72C0" w:rsidRDefault="004F762F" w:rsidP="00286999">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t>NUR 110- Nursing Process Application I</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 xml:space="preserve">: </w:t>
            </w:r>
            <w:r>
              <w:rPr>
                <w:rFonts w:ascii="Arial" w:eastAsia="MS Mincho" w:hAnsi="Arial" w:cs="Arial"/>
                <w:sz w:val="22"/>
                <w:szCs w:val="22"/>
              </w:rPr>
              <w:t>6/</w:t>
            </w:r>
            <w:r w:rsidR="00286999">
              <w:rPr>
                <w:rFonts w:ascii="Arial" w:eastAsia="MS Mincho" w:hAnsi="Arial" w:cs="Arial"/>
                <w:sz w:val="22"/>
                <w:szCs w:val="22"/>
              </w:rPr>
              <w:t>9</w:t>
            </w:r>
            <w:r w:rsidRPr="00457CC7">
              <w:rPr>
                <w:rFonts w:ascii="Arial" w:eastAsia="MS Mincho" w:hAnsi="Arial" w:cs="Arial"/>
                <w:sz w:val="22"/>
                <w:szCs w:val="22"/>
              </w:rPr>
              <w:t>/11</w:t>
            </w:r>
          </w:p>
        </w:tc>
      </w:tr>
      <w:tr w:rsidR="004F762F" w:rsidRPr="00C05341" w:rsidTr="00AF694C">
        <w:tc>
          <w:tcPr>
            <w:tcW w:w="2358" w:type="dxa"/>
          </w:tcPr>
          <w:p w:rsidR="004F762F" w:rsidRPr="005F5C72" w:rsidRDefault="004F762F" w:rsidP="004F762F">
            <w:pPr>
              <w:keepNext/>
              <w:spacing w:before="240" w:after="120"/>
              <w:rPr>
                <w:rFonts w:ascii="Arial" w:eastAsia="MS Mincho" w:hAnsi="Arial" w:cs="Arial"/>
                <w:b/>
                <w:bCs/>
                <w:sz w:val="20"/>
                <w:szCs w:val="20"/>
              </w:rPr>
            </w:pPr>
            <w:r w:rsidRPr="005F5C72">
              <w:rPr>
                <w:rFonts w:ascii="Arial" w:eastAsia="MS Mincho" w:hAnsi="Arial" w:cs="Arial"/>
                <w:b/>
                <w:bCs/>
                <w:sz w:val="20"/>
                <w:szCs w:val="20"/>
              </w:rPr>
              <w:t>2. People involved in summarizing and evaluating data</w:t>
            </w:r>
          </w:p>
        </w:tc>
        <w:tc>
          <w:tcPr>
            <w:tcW w:w="8100" w:type="dxa"/>
          </w:tcPr>
          <w:p w:rsidR="004F762F" w:rsidRPr="00FB72C0" w:rsidRDefault="004F762F" w:rsidP="004F762F">
            <w:pPr>
              <w:keepNext/>
              <w:spacing w:before="240" w:after="120"/>
              <w:rPr>
                <w:rFonts w:ascii="Arial" w:eastAsia="MS Mincho" w:hAnsi="Arial" w:cs="Arial"/>
                <w:sz w:val="22"/>
                <w:szCs w:val="22"/>
              </w:rPr>
            </w:pPr>
            <w:r>
              <w:rPr>
                <w:rFonts w:ascii="Arial" w:eastAsia="MS Mincho" w:hAnsi="Arial" w:cs="Arial"/>
                <w:sz w:val="22"/>
                <w:szCs w:val="22"/>
              </w:rPr>
              <w:t>Jean Stroud  and  Rosalba Jepson</w:t>
            </w:r>
          </w:p>
        </w:tc>
      </w:tr>
      <w:tr w:rsidR="004F762F" w:rsidRPr="00C05341" w:rsidTr="00AF694C">
        <w:tc>
          <w:tcPr>
            <w:tcW w:w="2358" w:type="dxa"/>
          </w:tcPr>
          <w:p w:rsidR="004F762F" w:rsidRPr="005F5C72" w:rsidRDefault="004F762F" w:rsidP="004F762F">
            <w:pPr>
              <w:keepNext/>
              <w:spacing w:before="240" w:after="120"/>
              <w:rPr>
                <w:rFonts w:ascii="Arial" w:eastAsia="MS Mincho" w:hAnsi="Arial" w:cs="Arial"/>
                <w:sz w:val="20"/>
                <w:szCs w:val="20"/>
              </w:rPr>
            </w:pPr>
            <w:r w:rsidRPr="005F5C72">
              <w:rPr>
                <w:rFonts w:ascii="Arial" w:eastAsia="MS Mincho" w:hAnsi="Arial" w:cs="Arial"/>
                <w:b/>
                <w:bCs/>
                <w:sz w:val="20"/>
                <w:szCs w:val="20"/>
              </w:rPr>
              <w:t>3. Data Results</w:t>
            </w:r>
          </w:p>
          <w:p w:rsidR="004F762F" w:rsidRPr="005F5C72" w:rsidRDefault="004F762F" w:rsidP="004F762F">
            <w:pPr>
              <w:keepNext/>
              <w:spacing w:before="240" w:after="120"/>
              <w:rPr>
                <w:rFonts w:ascii="Arial" w:eastAsia="MS Mincho" w:hAnsi="Arial" w:cs="Arial"/>
                <w:sz w:val="20"/>
                <w:szCs w:val="20"/>
              </w:rPr>
            </w:pPr>
            <w:r w:rsidRPr="005F5C72">
              <w:rPr>
                <w:rFonts w:ascii="Arial" w:eastAsia="MS Mincho" w:hAnsi="Arial" w:cs="Arial"/>
                <w:sz w:val="20"/>
                <w:szCs w:val="20"/>
              </w:rPr>
              <w:t>Briefly summarize the results of the data you collected.</w:t>
            </w:r>
          </w:p>
        </w:tc>
        <w:tc>
          <w:tcPr>
            <w:tcW w:w="8100" w:type="dxa"/>
          </w:tcPr>
          <w:p w:rsidR="008E1C42" w:rsidRDefault="004F762F" w:rsidP="004F762F">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Pr>
                <w:rFonts w:ascii="Arial" w:eastAsia="MS Mincho" w:hAnsi="Arial" w:cs="Arial"/>
                <w:b/>
                <w:sz w:val="22"/>
                <w:szCs w:val="22"/>
              </w:rPr>
              <w:t xml:space="preserve">   </w:t>
            </w:r>
            <w:r w:rsidR="008E1C42">
              <w:rPr>
                <w:rFonts w:ascii="Arial" w:eastAsia="MS Mincho" w:hAnsi="Arial" w:cs="Arial"/>
                <w:sz w:val="22"/>
                <w:szCs w:val="22"/>
              </w:rPr>
              <w:t xml:space="preserve">24 students enrolled in the class; 2 dropped during the course.                       </w:t>
            </w:r>
            <w:r w:rsidRPr="00F4135E">
              <w:rPr>
                <w:rFonts w:ascii="Arial" w:eastAsia="MS Mincho" w:hAnsi="Arial" w:cs="Arial"/>
                <w:sz w:val="22"/>
                <w:szCs w:val="22"/>
              </w:rPr>
              <w:t>2</w:t>
            </w:r>
            <w:r w:rsidR="008E1C42">
              <w:rPr>
                <w:rFonts w:ascii="Arial" w:eastAsia="MS Mincho" w:hAnsi="Arial" w:cs="Arial"/>
                <w:sz w:val="22"/>
                <w:szCs w:val="22"/>
              </w:rPr>
              <w:t xml:space="preserve">2 </w:t>
            </w:r>
            <w:r w:rsidRPr="00F4135E">
              <w:rPr>
                <w:rFonts w:ascii="Arial" w:eastAsia="MS Mincho" w:hAnsi="Arial" w:cs="Arial"/>
                <w:sz w:val="22"/>
                <w:szCs w:val="22"/>
              </w:rPr>
              <w:t>students demonstrated knowledge of basic nursing fundamental skills</w:t>
            </w:r>
            <w:r>
              <w:rPr>
                <w:rFonts w:ascii="Arial" w:eastAsia="MS Mincho" w:hAnsi="Arial" w:cs="Arial"/>
                <w:sz w:val="22"/>
                <w:szCs w:val="22"/>
              </w:rPr>
              <w:t xml:space="preserve"> as evidence by passing final exam and passing ATI Fundamental Test.</w:t>
            </w:r>
            <w:r w:rsidR="00D6579A">
              <w:rPr>
                <w:rFonts w:ascii="Arial" w:eastAsia="MS Mincho" w:hAnsi="Arial" w:cs="Arial"/>
                <w:sz w:val="22"/>
                <w:szCs w:val="22"/>
              </w:rPr>
              <w:t xml:space="preserve"> </w:t>
            </w:r>
            <w:r w:rsidR="008E1C42">
              <w:rPr>
                <w:rFonts w:ascii="Arial" w:eastAsia="MS Mincho" w:hAnsi="Arial" w:cs="Arial"/>
                <w:sz w:val="22"/>
                <w:szCs w:val="22"/>
              </w:rPr>
              <w:t xml:space="preserve">The scores are as followed:    </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785"/>
              <w:gridCol w:w="1362"/>
            </w:tblGrid>
            <w:tr w:rsidR="008E1C42" w:rsidRPr="002E46B4" w:rsidTr="002E46B4">
              <w:trPr>
                <w:trHeight w:val="452"/>
              </w:trPr>
              <w:tc>
                <w:tcPr>
                  <w:tcW w:w="1059" w:type="dxa"/>
                </w:tcPr>
                <w:p w:rsidR="008E1C42" w:rsidRPr="002E46B4" w:rsidRDefault="008E1C42"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ATI Level</w:t>
                  </w:r>
                </w:p>
              </w:tc>
              <w:tc>
                <w:tcPr>
                  <w:tcW w:w="1785"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Grade            Equivalent</w:t>
                  </w:r>
                </w:p>
              </w:tc>
              <w:tc>
                <w:tcPr>
                  <w:tcW w:w="1362" w:type="dxa"/>
                </w:tcPr>
                <w:p w:rsidR="008E1C42" w:rsidRPr="002E46B4" w:rsidRDefault="00AC2DBB" w:rsidP="002E46B4">
                  <w:pPr>
                    <w:keepNext/>
                    <w:framePr w:hSpace="180" w:wrap="around" w:vAnchor="page" w:hAnchor="margin" w:y="1321"/>
                    <w:rPr>
                      <w:rFonts w:ascii="Arial" w:eastAsia="MS Mincho" w:hAnsi="Arial" w:cs="Arial"/>
                      <w:sz w:val="22"/>
                      <w:szCs w:val="22"/>
                    </w:rPr>
                  </w:pPr>
                  <w:r w:rsidRPr="002E46B4">
                    <w:rPr>
                      <w:rFonts w:ascii="Arial" w:eastAsia="MS Mincho" w:hAnsi="Arial" w:cs="Arial"/>
                      <w:sz w:val="22"/>
                      <w:szCs w:val="22"/>
                    </w:rPr>
                    <w:t># Students</w:t>
                  </w:r>
                </w:p>
              </w:tc>
            </w:tr>
            <w:tr w:rsidR="008E1C42" w:rsidRPr="002E46B4" w:rsidTr="002E46B4">
              <w:trPr>
                <w:trHeight w:val="464"/>
              </w:trPr>
              <w:tc>
                <w:tcPr>
                  <w:tcW w:w="1059"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3</w:t>
                  </w:r>
                </w:p>
              </w:tc>
              <w:tc>
                <w:tcPr>
                  <w:tcW w:w="1785"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92% - A</w:t>
                  </w:r>
                </w:p>
              </w:tc>
              <w:tc>
                <w:tcPr>
                  <w:tcW w:w="1362"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1</w:t>
                  </w:r>
                </w:p>
              </w:tc>
            </w:tr>
            <w:tr w:rsidR="008E1C42" w:rsidRPr="002E46B4" w:rsidTr="002E46B4">
              <w:trPr>
                <w:trHeight w:val="464"/>
              </w:trPr>
              <w:tc>
                <w:tcPr>
                  <w:tcW w:w="1059"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2</w:t>
                  </w:r>
                </w:p>
              </w:tc>
              <w:tc>
                <w:tcPr>
                  <w:tcW w:w="1785"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83% - B</w:t>
                  </w:r>
                </w:p>
              </w:tc>
              <w:tc>
                <w:tcPr>
                  <w:tcW w:w="1362" w:type="dxa"/>
                </w:tcPr>
                <w:p w:rsidR="008E1C42"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14</w:t>
                  </w:r>
                </w:p>
              </w:tc>
            </w:tr>
            <w:tr w:rsidR="00AC2DBB" w:rsidRPr="002E46B4" w:rsidTr="002E46B4">
              <w:trPr>
                <w:trHeight w:val="474"/>
              </w:trPr>
              <w:tc>
                <w:tcPr>
                  <w:tcW w:w="1059"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1</w:t>
                  </w:r>
                </w:p>
              </w:tc>
              <w:tc>
                <w:tcPr>
                  <w:tcW w:w="1785"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75% - C</w:t>
                  </w:r>
                </w:p>
              </w:tc>
              <w:tc>
                <w:tcPr>
                  <w:tcW w:w="1362"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4</w:t>
                  </w:r>
                </w:p>
              </w:tc>
            </w:tr>
            <w:tr w:rsidR="00AC2DBB" w:rsidRPr="002E46B4" w:rsidTr="002E46B4">
              <w:trPr>
                <w:trHeight w:val="474"/>
              </w:trPr>
              <w:tc>
                <w:tcPr>
                  <w:tcW w:w="1059"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Below</w:t>
                  </w:r>
                </w:p>
              </w:tc>
              <w:tc>
                <w:tcPr>
                  <w:tcW w:w="1785" w:type="dxa"/>
                </w:tcPr>
                <w:p w:rsidR="00AC2DBB" w:rsidRPr="002E46B4" w:rsidRDefault="00AC2DBB" w:rsidP="002E46B4">
                  <w:pPr>
                    <w:keepNext/>
                    <w:framePr w:hSpace="180" w:wrap="around" w:vAnchor="page" w:hAnchor="margin" w:y="1321"/>
                    <w:rPr>
                      <w:rFonts w:ascii="Arial" w:eastAsia="MS Mincho" w:hAnsi="Arial" w:cs="Arial"/>
                      <w:sz w:val="22"/>
                      <w:szCs w:val="22"/>
                    </w:rPr>
                  </w:pPr>
                  <w:r w:rsidRPr="002E46B4">
                    <w:rPr>
                      <w:rFonts w:ascii="Arial" w:eastAsia="MS Mincho" w:hAnsi="Arial" w:cs="Arial"/>
                      <w:sz w:val="22"/>
                      <w:szCs w:val="22"/>
                    </w:rPr>
                    <w:t xml:space="preserve">Not passing if below level 1  </w:t>
                  </w:r>
                </w:p>
              </w:tc>
              <w:tc>
                <w:tcPr>
                  <w:tcW w:w="1362" w:type="dxa"/>
                </w:tcPr>
                <w:p w:rsidR="00AC2DBB" w:rsidRPr="002E46B4" w:rsidRDefault="00AC2DBB" w:rsidP="002E46B4">
                  <w:pPr>
                    <w:keepNext/>
                    <w:framePr w:hSpace="180" w:wrap="around" w:vAnchor="page" w:hAnchor="margin" w:y="1321"/>
                    <w:jc w:val="center"/>
                    <w:rPr>
                      <w:rFonts w:ascii="Arial" w:eastAsia="MS Mincho" w:hAnsi="Arial" w:cs="Arial"/>
                      <w:sz w:val="22"/>
                      <w:szCs w:val="22"/>
                    </w:rPr>
                  </w:pPr>
                  <w:r w:rsidRPr="002E46B4">
                    <w:rPr>
                      <w:rFonts w:ascii="Arial" w:eastAsia="MS Mincho" w:hAnsi="Arial" w:cs="Arial"/>
                      <w:sz w:val="22"/>
                      <w:szCs w:val="22"/>
                    </w:rPr>
                    <w:t>2</w:t>
                  </w:r>
                </w:p>
              </w:tc>
            </w:tr>
          </w:tbl>
          <w:p w:rsidR="00D6579A" w:rsidRPr="009678AB" w:rsidRDefault="00AC2DBB" w:rsidP="004F762F">
            <w:pPr>
              <w:keepNext/>
              <w:spacing w:before="240" w:after="120"/>
              <w:rPr>
                <w:rFonts w:ascii="Arial" w:eastAsia="MS Mincho" w:hAnsi="Arial" w:cs="Arial"/>
                <w:sz w:val="22"/>
                <w:szCs w:val="22"/>
              </w:rPr>
            </w:pPr>
            <w:r>
              <w:rPr>
                <w:rFonts w:ascii="Arial" w:eastAsia="MS Mincho" w:hAnsi="Arial" w:cs="Arial"/>
                <w:sz w:val="22"/>
                <w:szCs w:val="22"/>
              </w:rPr>
              <w:t xml:space="preserve">One student showed up late to the timed ATI test and was not able to take it.  All students </w:t>
            </w:r>
            <w:proofErr w:type="gramStart"/>
            <w:r>
              <w:rPr>
                <w:rFonts w:ascii="Arial" w:eastAsia="MS Mincho" w:hAnsi="Arial" w:cs="Arial"/>
                <w:sz w:val="22"/>
                <w:szCs w:val="22"/>
              </w:rPr>
              <w:t>were given</w:t>
            </w:r>
            <w:proofErr w:type="gramEnd"/>
            <w:r>
              <w:rPr>
                <w:rFonts w:ascii="Arial" w:eastAsia="MS Mincho" w:hAnsi="Arial" w:cs="Arial"/>
                <w:sz w:val="22"/>
                <w:szCs w:val="22"/>
              </w:rPr>
              <w:t xml:space="preserve"> the opportunity to retake ATI for a better letter grade. All students passed the Fundamentals ATI exam, including the student who missed the first opportunity, and scored &gt; 75% or better.  All </w:t>
            </w:r>
            <w:r w:rsidR="00D6579A">
              <w:rPr>
                <w:rFonts w:ascii="Arial" w:eastAsia="MS Mincho" w:hAnsi="Arial" w:cs="Arial"/>
                <w:sz w:val="22"/>
                <w:szCs w:val="22"/>
              </w:rPr>
              <w:t>22 students passed the</w:t>
            </w:r>
            <w:r>
              <w:rPr>
                <w:rFonts w:ascii="Arial" w:eastAsia="MS Mincho" w:hAnsi="Arial" w:cs="Arial"/>
                <w:sz w:val="22"/>
                <w:szCs w:val="22"/>
              </w:rPr>
              <w:t xml:space="preserve"> written</w:t>
            </w:r>
            <w:r w:rsidR="00D6579A">
              <w:rPr>
                <w:rFonts w:ascii="Arial" w:eastAsia="MS Mincho" w:hAnsi="Arial" w:cs="Arial"/>
                <w:sz w:val="22"/>
                <w:szCs w:val="22"/>
              </w:rPr>
              <w:t xml:space="preserve"> final </w:t>
            </w:r>
            <w:r>
              <w:rPr>
                <w:rFonts w:ascii="Arial" w:eastAsia="MS Mincho" w:hAnsi="Arial" w:cs="Arial"/>
                <w:sz w:val="22"/>
                <w:szCs w:val="22"/>
              </w:rPr>
              <w:t xml:space="preserve">exam with scores &gt; 75% or better.        </w:t>
            </w:r>
          </w:p>
          <w:p w:rsidR="00AC2DBB" w:rsidRPr="00AC2DBB" w:rsidRDefault="00AC2DBB" w:rsidP="004F762F">
            <w:pPr>
              <w:rPr>
                <w:sz w:val="16"/>
                <w:szCs w:val="16"/>
              </w:rPr>
            </w:pPr>
          </w:p>
          <w:p w:rsidR="002E24B0" w:rsidRDefault="004F762F" w:rsidP="004F762F">
            <w:pPr>
              <w:snapToGrid w:val="0"/>
            </w:pPr>
            <w:r w:rsidRPr="006A6446">
              <w:rPr>
                <w:rFonts w:ascii="Arial" w:eastAsia="MS Mincho" w:hAnsi="Arial" w:cs="Arial"/>
                <w:b/>
                <w:sz w:val="22"/>
                <w:szCs w:val="22"/>
              </w:rPr>
              <w:t>Outcome 2:</w:t>
            </w:r>
            <w:r>
              <w:rPr>
                <w:rFonts w:ascii="Arial" w:eastAsia="MS Mincho" w:hAnsi="Arial" w:cs="Arial"/>
                <w:b/>
                <w:sz w:val="22"/>
                <w:szCs w:val="22"/>
              </w:rPr>
              <w:t xml:space="preserve">   </w:t>
            </w:r>
            <w:r>
              <w:t xml:space="preserve"> </w:t>
            </w:r>
            <w:r w:rsidR="004608BE">
              <w:t>Students verbalized differences in cultural backgrounds</w:t>
            </w:r>
            <w:r w:rsidR="002E24B0">
              <w:t>/ethnicity</w:t>
            </w:r>
            <w:r w:rsidR="004608BE">
              <w:t xml:space="preserve"> that affect health-wellness and </w:t>
            </w:r>
            <w:r w:rsidR="002E24B0">
              <w:t>disparities</w:t>
            </w:r>
            <w:r w:rsidR="004608BE">
              <w:t xml:space="preserve"> in given </w:t>
            </w:r>
            <w:r w:rsidR="002E24B0">
              <w:t xml:space="preserve">class </w:t>
            </w:r>
            <w:r w:rsidR="004608BE">
              <w:t xml:space="preserve">scenario situations and questions.  </w:t>
            </w:r>
          </w:p>
          <w:p w:rsidR="004F762F" w:rsidRDefault="004608BE" w:rsidP="004F762F">
            <w:pPr>
              <w:snapToGrid w:val="0"/>
            </w:pPr>
            <w:r>
              <w:t>Students</w:t>
            </w:r>
            <w:r w:rsidR="002E24B0">
              <w:t xml:space="preserve"> were able to</w:t>
            </w:r>
            <w:r>
              <w:t xml:space="preserve"> identify cultural and religious factors in </w:t>
            </w:r>
            <w:r w:rsidR="002E24B0">
              <w:t xml:space="preserve">the clinical setting in NUR 112.  Students assigned to </w:t>
            </w:r>
            <w:r>
              <w:t>clients</w:t>
            </w:r>
            <w:r w:rsidR="002E24B0">
              <w:t xml:space="preserve"> were responsible for identifying cultural, religious and developmental </w:t>
            </w:r>
            <w:proofErr w:type="gramStart"/>
            <w:r w:rsidR="002E24B0">
              <w:t>stage which</w:t>
            </w:r>
            <w:proofErr w:type="gramEnd"/>
            <w:r w:rsidR="002E24B0">
              <w:t xml:space="preserve"> were reflected in the nursing care plans.</w:t>
            </w:r>
          </w:p>
          <w:p w:rsidR="00794D81" w:rsidRDefault="004F762F" w:rsidP="004F762F">
            <w:pPr>
              <w:keepNext/>
              <w:spacing w:before="240" w:after="120"/>
            </w:pPr>
            <w:r w:rsidRPr="006A6446">
              <w:rPr>
                <w:rFonts w:ascii="Arial" w:eastAsia="MS Mincho" w:hAnsi="Arial" w:cs="Arial"/>
                <w:b/>
                <w:sz w:val="22"/>
                <w:szCs w:val="22"/>
              </w:rPr>
              <w:t>Outcome 3:</w:t>
            </w:r>
            <w:r>
              <w:t xml:space="preserve"> </w:t>
            </w:r>
            <w:r w:rsidR="00794D81">
              <w:t xml:space="preserve">6 out of 22 students did not pass the exam with questions on </w:t>
            </w:r>
            <w:r>
              <w:t>the 2010 Patient Safety Goals</w:t>
            </w:r>
            <w:r w:rsidR="00794D81">
              <w:t xml:space="preserve">.  The subject </w:t>
            </w:r>
            <w:proofErr w:type="gramStart"/>
            <w:r w:rsidR="00794D81">
              <w:t>was revisited</w:t>
            </w:r>
            <w:proofErr w:type="gramEnd"/>
            <w:r w:rsidR="00794D81">
              <w:t xml:space="preserve"> in sections related to</w:t>
            </w:r>
            <w:r w:rsidR="004608BE">
              <w:t xml:space="preserve"> specific topics pertaining to p</w:t>
            </w:r>
            <w:r w:rsidR="00794D81">
              <w:t>atient safety</w:t>
            </w:r>
            <w:r w:rsidR="004608BE">
              <w:t>.</w:t>
            </w:r>
          </w:p>
          <w:p w:rsidR="004F762F" w:rsidRPr="00794D81" w:rsidRDefault="00794D81" w:rsidP="004F762F">
            <w:pPr>
              <w:keepNext/>
              <w:spacing w:before="240" w:after="120"/>
            </w:pPr>
            <w:r>
              <w:t>The Patient Safety Goals were reviewed (repeated) and reinforced in NUR 112 post conference in the clinical setting where students were then asked to identify clinical situations related to the Patient Safety Goals and how would they make the necessary changes if the safety goals or measures were compromised.  Students verbalized and identified in the care plans Patient Safety Goals and measures that applied to their patients or in the clinical setting.</w:t>
            </w:r>
          </w:p>
          <w:p w:rsidR="004F762F" w:rsidRPr="005F5C72" w:rsidRDefault="004F762F" w:rsidP="004F762F">
            <w:pPr>
              <w:keepNext/>
              <w:spacing w:before="240" w:after="120"/>
              <w:rPr>
                <w:rFonts w:ascii="Arial" w:eastAsia="MS Mincho" w:hAnsi="Arial" w:cs="Arial"/>
                <w:b/>
                <w:sz w:val="22"/>
                <w:szCs w:val="22"/>
              </w:rPr>
            </w:pPr>
          </w:p>
        </w:tc>
      </w:tr>
      <w:tr w:rsidR="004F762F" w:rsidRPr="00C05341" w:rsidTr="00AF694C">
        <w:tc>
          <w:tcPr>
            <w:tcW w:w="2358" w:type="dxa"/>
          </w:tcPr>
          <w:p w:rsidR="004F762F" w:rsidRPr="005F5C72" w:rsidRDefault="004F762F" w:rsidP="004F762F">
            <w:pPr>
              <w:keepNext/>
              <w:spacing w:before="240" w:after="120"/>
              <w:rPr>
                <w:rFonts w:ascii="Arial" w:eastAsia="MS Mincho" w:hAnsi="Arial" w:cs="Arial"/>
                <w:b/>
                <w:sz w:val="20"/>
                <w:szCs w:val="20"/>
              </w:rPr>
            </w:pPr>
            <w:r w:rsidRPr="005F5C72">
              <w:rPr>
                <w:rFonts w:ascii="Arial" w:eastAsia="MS Mincho" w:hAnsi="Arial" w:cs="Arial"/>
                <w:b/>
                <w:sz w:val="20"/>
                <w:szCs w:val="20"/>
              </w:rPr>
              <w:lastRenderedPageBreak/>
              <w:t>4. Course / Program Improvement</w:t>
            </w:r>
          </w:p>
          <w:p w:rsidR="004F762F" w:rsidRPr="005F5C72" w:rsidRDefault="004F762F" w:rsidP="004F762F">
            <w:pPr>
              <w:keepNext/>
              <w:spacing w:before="240" w:after="120"/>
              <w:rPr>
                <w:rFonts w:ascii="Arial" w:eastAsia="MS Mincho" w:hAnsi="Arial" w:cs="Arial"/>
                <w:sz w:val="20"/>
                <w:szCs w:val="20"/>
              </w:rPr>
            </w:pPr>
            <w:r w:rsidRPr="005F5C72">
              <w:rPr>
                <w:rFonts w:ascii="Arial" w:eastAsia="MS Mincho" w:hAnsi="Arial" w:cs="Arial"/>
                <w:sz w:val="20"/>
                <w:szCs w:val="20"/>
              </w:rPr>
              <w:t>Please describe what change(s) you plan to implement based on the above results.</w:t>
            </w:r>
          </w:p>
          <w:p w:rsidR="004F762F" w:rsidRPr="005F5C72" w:rsidRDefault="004F762F" w:rsidP="004F762F">
            <w:pPr>
              <w:keepNext/>
              <w:spacing w:before="240" w:after="120"/>
              <w:rPr>
                <w:rFonts w:ascii="Arial" w:eastAsia="MS Mincho" w:hAnsi="Arial" w:cs="Arial"/>
                <w:sz w:val="20"/>
                <w:szCs w:val="20"/>
              </w:rPr>
            </w:pPr>
          </w:p>
        </w:tc>
        <w:tc>
          <w:tcPr>
            <w:tcW w:w="8100" w:type="dxa"/>
          </w:tcPr>
          <w:p w:rsidR="004F762F" w:rsidRPr="00FB72C0" w:rsidRDefault="004F762F" w:rsidP="004F762F">
            <w:pPr>
              <w:keepNext/>
              <w:spacing w:before="240" w:after="120"/>
              <w:rPr>
                <w:rFonts w:ascii="Arial" w:eastAsia="MS Mincho" w:hAnsi="Arial" w:cs="Arial"/>
                <w:sz w:val="22"/>
                <w:szCs w:val="22"/>
              </w:rPr>
            </w:pPr>
          </w:p>
          <w:p w:rsidR="004F762F" w:rsidRPr="00CA23F6" w:rsidRDefault="004F762F" w:rsidP="00FA6B6F">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r w:rsidR="00FA6B6F">
              <w:rPr>
                <w:rFonts w:ascii="Arial" w:eastAsia="MS Mincho" w:hAnsi="Arial" w:cs="Arial"/>
                <w:b/>
                <w:sz w:val="22"/>
                <w:szCs w:val="22"/>
                <w:u w:val="single"/>
              </w:rPr>
              <w:t>NO</w:t>
            </w:r>
            <w:r w:rsidRPr="00AF694C">
              <w:rPr>
                <w:rFonts w:ascii="Arial" w:eastAsia="MS Mincho" w:hAnsi="Arial" w:cs="Arial"/>
                <w:b/>
                <w:sz w:val="22"/>
                <w:szCs w:val="22"/>
                <w:u w:val="single"/>
              </w:rPr>
              <w:t xml:space="preserve">     </w:t>
            </w:r>
          </w:p>
        </w:tc>
      </w:tr>
      <w:tr w:rsidR="004F762F" w:rsidRPr="00C05341" w:rsidTr="00AF694C">
        <w:tc>
          <w:tcPr>
            <w:tcW w:w="2358" w:type="dxa"/>
          </w:tcPr>
          <w:p w:rsidR="004F762F" w:rsidRPr="005F5C72" w:rsidRDefault="004F762F" w:rsidP="004F762F">
            <w:pPr>
              <w:keepNext/>
              <w:spacing w:before="240" w:after="120"/>
              <w:rPr>
                <w:rFonts w:ascii="Arial" w:eastAsia="MS Mincho" w:hAnsi="Arial" w:cs="Arial"/>
                <w:b/>
                <w:sz w:val="20"/>
                <w:szCs w:val="20"/>
              </w:rPr>
            </w:pPr>
            <w:r w:rsidRPr="005F5C72">
              <w:rPr>
                <w:rFonts w:ascii="Arial" w:eastAsia="MS Mincho" w:hAnsi="Arial" w:cs="Arial"/>
                <w:b/>
                <w:sz w:val="20"/>
                <w:szCs w:val="20"/>
              </w:rPr>
              <w:t>5. Next Year</w:t>
            </w:r>
            <w:r w:rsidRPr="005F5C72">
              <w:rPr>
                <w:rFonts w:ascii="Arial" w:eastAsia="MS Mincho" w:hAnsi="Arial" w:cs="Arial"/>
                <w:sz w:val="20"/>
                <w:szCs w:val="20"/>
              </w:rPr>
              <w:t xml:space="preserve"> </w:t>
            </w:r>
            <w:r w:rsidRPr="005F5C72">
              <w:rPr>
                <w:rFonts w:ascii="Arial" w:eastAsia="MS Mincho" w:hAnsi="Arial" w:cs="Arial"/>
                <w:b/>
                <w:sz w:val="20"/>
                <w:szCs w:val="20"/>
              </w:rPr>
              <w:t xml:space="preserve">      </w:t>
            </w:r>
            <w:r w:rsidRPr="005F5C72">
              <w:rPr>
                <w:rFonts w:ascii="Arial" w:eastAsia="MS Mincho" w:hAnsi="Arial" w:cs="Arial"/>
                <w:sz w:val="20"/>
                <w:szCs w:val="20"/>
              </w:rPr>
              <w:t xml:space="preserve">Was the process </w:t>
            </w:r>
            <w:proofErr w:type="gramStart"/>
            <w:r w:rsidRPr="005F5C72">
              <w:rPr>
                <w:rFonts w:ascii="Arial" w:eastAsia="MS Mincho" w:hAnsi="Arial" w:cs="Arial"/>
                <w:sz w:val="20"/>
                <w:szCs w:val="20"/>
              </w:rPr>
              <w:t>effective?</w:t>
            </w:r>
            <w:proofErr w:type="gramEnd"/>
            <w:r w:rsidRPr="005F5C72">
              <w:rPr>
                <w:rFonts w:ascii="Arial" w:eastAsia="MS Mincho" w:hAnsi="Arial" w:cs="Arial"/>
                <w:sz w:val="20"/>
                <w:szCs w:val="20"/>
              </w:rPr>
              <w:t xml:space="preserve">  Will you change the outcome/ assessment for next year? </w:t>
            </w:r>
            <w:proofErr w:type="gramStart"/>
            <w:r w:rsidRPr="005F5C72">
              <w:rPr>
                <w:rFonts w:ascii="Arial" w:eastAsia="MS Mincho" w:hAnsi="Arial" w:cs="Arial"/>
                <w:sz w:val="20"/>
                <w:szCs w:val="20"/>
              </w:rPr>
              <w:t>(e.g., alter the SLO, assessment, faculty discussion process, strategy for providing SLO to student)?</w:t>
            </w:r>
            <w:proofErr w:type="gramEnd"/>
            <w:r w:rsidRPr="005F5C72">
              <w:rPr>
                <w:rFonts w:ascii="Arial" w:eastAsia="MS Mincho" w:hAnsi="Arial" w:cs="Arial"/>
                <w:sz w:val="20"/>
                <w:szCs w:val="20"/>
              </w:rPr>
              <w:t xml:space="preserve"> </w:t>
            </w:r>
            <w:proofErr w:type="gramStart"/>
            <w:r w:rsidRPr="005F5C72">
              <w:rPr>
                <w:rFonts w:ascii="Arial" w:eastAsia="MS Mincho" w:hAnsi="Arial" w:cs="Arial"/>
                <w:sz w:val="20"/>
                <w:szCs w:val="20"/>
              </w:rPr>
              <w:t>If so, how?</w:t>
            </w:r>
            <w:proofErr w:type="gramEnd"/>
          </w:p>
        </w:tc>
        <w:tc>
          <w:tcPr>
            <w:tcW w:w="8100" w:type="dxa"/>
          </w:tcPr>
          <w:p w:rsidR="004F762F" w:rsidRPr="00FB72C0" w:rsidRDefault="00080EEA" w:rsidP="00080EEA">
            <w:pPr>
              <w:keepNext/>
              <w:spacing w:before="240" w:after="120"/>
              <w:rPr>
                <w:rFonts w:ascii="Arial" w:eastAsia="MS Mincho" w:hAnsi="Arial" w:cs="Arial"/>
                <w:sz w:val="22"/>
                <w:szCs w:val="22"/>
              </w:rPr>
            </w:pPr>
            <w:r>
              <w:rPr>
                <w:rFonts w:ascii="Arial" w:eastAsia="MS Mincho" w:hAnsi="Arial" w:cs="Arial"/>
                <w:sz w:val="22"/>
                <w:szCs w:val="22"/>
              </w:rPr>
              <w:t>Will continue to utilize lecture exams, ATI-testing and Final exam to evaluate student learning.</w:t>
            </w:r>
          </w:p>
        </w:tc>
      </w:tr>
      <w:tr w:rsidR="004F762F" w:rsidRPr="00C05341" w:rsidTr="00AD1179">
        <w:trPr>
          <w:trHeight w:val="263"/>
        </w:trPr>
        <w:tc>
          <w:tcPr>
            <w:tcW w:w="2358" w:type="dxa"/>
          </w:tcPr>
          <w:p w:rsidR="004F762F" w:rsidRDefault="004F762F" w:rsidP="004F762F">
            <w:pPr>
              <w:keepNext/>
              <w:spacing w:before="240" w:after="120"/>
              <w:rPr>
                <w:rFonts w:ascii="Arial" w:eastAsia="MS Mincho" w:hAnsi="Arial" w:cs="Arial"/>
                <w:sz w:val="20"/>
                <w:szCs w:val="20"/>
              </w:rPr>
            </w:pPr>
            <w:r w:rsidRPr="005F5C72">
              <w:rPr>
                <w:rFonts w:ascii="Arial" w:eastAsia="MS Mincho" w:hAnsi="Arial" w:cs="Arial"/>
                <w:b/>
                <w:sz w:val="20"/>
                <w:szCs w:val="20"/>
              </w:rPr>
              <w:t xml:space="preserve">6. After-Thoughts </w:t>
            </w:r>
            <w:r w:rsidRPr="005F5C72">
              <w:rPr>
                <w:rFonts w:ascii="Arial" w:eastAsia="MS Mincho" w:hAnsi="Arial" w:cs="Arial"/>
                <w:sz w:val="20"/>
                <w:szCs w:val="20"/>
              </w:rPr>
              <w:t>Feel free to celebrate, vent, or otherwise discuss the process.</w:t>
            </w:r>
          </w:p>
          <w:p w:rsidR="004F762F" w:rsidRPr="005F5C72" w:rsidRDefault="004F762F" w:rsidP="004F762F">
            <w:pPr>
              <w:keepNext/>
              <w:spacing w:before="240" w:after="120"/>
              <w:rPr>
                <w:rFonts w:ascii="Arial" w:eastAsia="MS Mincho" w:hAnsi="Arial" w:cs="Arial"/>
                <w:sz w:val="20"/>
                <w:szCs w:val="20"/>
              </w:rPr>
            </w:pPr>
          </w:p>
        </w:tc>
        <w:tc>
          <w:tcPr>
            <w:tcW w:w="8100" w:type="dxa"/>
          </w:tcPr>
          <w:p w:rsidR="004F762F" w:rsidRPr="00FB72C0" w:rsidRDefault="004F762F" w:rsidP="004F762F">
            <w:pPr>
              <w:keepNext/>
              <w:spacing w:before="240" w:after="120"/>
              <w:rPr>
                <w:rFonts w:ascii="Arial" w:eastAsia="MS Mincho" w:hAnsi="Arial" w:cs="Arial"/>
                <w:sz w:val="22"/>
                <w:szCs w:val="22"/>
              </w:rPr>
            </w:pPr>
          </w:p>
        </w:tc>
      </w:tr>
    </w:tbl>
    <w:tbl>
      <w:tblPr>
        <w:tblW w:w="0" w:type="auto"/>
        <w:tblLayout w:type="fixed"/>
        <w:tblLook w:val="0000" w:firstRow="0" w:lastRow="0" w:firstColumn="0" w:lastColumn="0" w:noHBand="0" w:noVBand="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5F5C72" w:rsidRDefault="005F5C72" w:rsidP="008B452B">
      <w:pPr>
        <w:jc w:val="center"/>
        <w:rPr>
          <w:b/>
        </w:rPr>
      </w:pPr>
    </w:p>
    <w:p w:rsidR="008B452B" w:rsidRPr="002A7F76" w:rsidRDefault="008B452B" w:rsidP="008B452B">
      <w:pPr>
        <w:jc w:val="center"/>
        <w:rPr>
          <w:b/>
        </w:rPr>
      </w:pPr>
      <w:r w:rsidRPr="002A7F76">
        <w:rPr>
          <w:b/>
        </w:rPr>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proofErr w:type="gramStart"/>
      <w:r>
        <w:t>organization</w:t>
      </w:r>
      <w:proofErr w:type="gramEnd"/>
      <w:r>
        <w:t>.</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proofErr w:type="gramStart"/>
      <w:r>
        <w:t>two</w:t>
      </w:r>
      <w:proofErr w:type="gramEnd"/>
      <w:r>
        <w:t xml:space="preserve"> people.  If you are the only one teaching the course, you are encourage to share your data </w:t>
      </w:r>
    </w:p>
    <w:p w:rsidR="008B452B" w:rsidRPr="002A7F76" w:rsidRDefault="008B452B" w:rsidP="008B452B">
      <w:pPr>
        <w:ind w:left="720" w:right="-540"/>
        <w:rPr>
          <w:u w:val="single"/>
        </w:rPr>
      </w:pPr>
      <w:proofErr w:type="gramStart"/>
      <w:r>
        <w:t>results</w:t>
      </w:r>
      <w:proofErr w:type="gramEnd"/>
      <w:r>
        <w:t xml:space="preserve"> and improvement methods with at least one other staff or faculty member.  Please list </w:t>
      </w:r>
    </w:p>
    <w:p w:rsidR="008B452B" w:rsidRPr="00C35EE9" w:rsidRDefault="008B452B" w:rsidP="008B452B">
      <w:pPr>
        <w:ind w:left="720" w:right="-540"/>
        <w:rPr>
          <w:u w:val="single"/>
        </w:rPr>
      </w:pPr>
      <w:proofErr w:type="gramStart"/>
      <w:r>
        <w:t>the</w:t>
      </w:r>
      <w:proofErr w:type="gramEnd"/>
      <w:r>
        <w:t xml:space="preserve"> names of all faculty, staff, and students who were involved in summarizing or evaluating </w:t>
      </w:r>
    </w:p>
    <w:p w:rsidR="008B452B" w:rsidRDefault="008B452B" w:rsidP="008B452B">
      <w:pPr>
        <w:ind w:left="720" w:right="-540"/>
      </w:pPr>
      <w:proofErr w:type="gramStart"/>
      <w:r>
        <w:t>the</w:t>
      </w:r>
      <w:proofErr w:type="gramEnd"/>
      <w:r>
        <w:t xml:space="preserve"> data.  These names may be the same or different </w:t>
      </w:r>
      <w:proofErr w:type="gramStart"/>
      <w:r>
        <w:t>than</w:t>
      </w:r>
      <w:proofErr w:type="gramEnd"/>
      <w:r>
        <w:t xml:space="preserve">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proofErr w:type="gramStart"/>
      <w:r>
        <w:t>years</w:t>
      </w:r>
      <w:proofErr w:type="gramEnd"/>
      <w:r>
        <w:t xml:space="preserve">.  At this </w:t>
      </w:r>
      <w:proofErr w:type="gramStart"/>
      <w:r>
        <w:t>time</w:t>
      </w:r>
      <w:proofErr w:type="gramEnd"/>
      <w:r>
        <w:t xml:space="preserve"> you do not need to submit the raw data, but please keep it for future quality </w:t>
      </w:r>
    </w:p>
    <w:p w:rsidR="008B452B" w:rsidRDefault="008B452B" w:rsidP="008B452B">
      <w:pPr>
        <w:ind w:left="720" w:right="-540"/>
      </w:pPr>
      <w:proofErr w:type="gramStart"/>
      <w:r>
        <w:t>control</w:t>
      </w:r>
      <w:proofErr w:type="gramEnd"/>
      <w:r>
        <w:t xml:space="preserve"> measures.  Please summarize the data that you collected.  You should include how well </w:t>
      </w:r>
    </w:p>
    <w:p w:rsidR="008B452B" w:rsidRDefault="008B452B" w:rsidP="008B452B">
      <w:pPr>
        <w:ind w:left="720" w:right="-540"/>
      </w:pPr>
      <w:proofErr w:type="gramStart"/>
      <w:r>
        <w:t>students</w:t>
      </w:r>
      <w:proofErr w:type="gramEnd"/>
      <w:r>
        <w:t xml:space="preserve"> scored on the assessment.  You might also </w:t>
      </w:r>
      <w:proofErr w:type="gramStart"/>
      <w:r>
        <w:t>include:</w:t>
      </w:r>
      <w:proofErr w:type="gramEnd"/>
      <w:r>
        <w:t xml:space="preserve"> how many instructors submitted </w:t>
      </w:r>
    </w:p>
    <w:p w:rsidR="008B452B" w:rsidRDefault="008B452B" w:rsidP="008B452B">
      <w:pPr>
        <w:ind w:left="720" w:right="-540"/>
      </w:pPr>
      <w:proofErr w:type="gramStart"/>
      <w:r>
        <w:t>data(</w:t>
      </w:r>
      <w:proofErr w:type="gramEnd"/>
      <w:r>
        <w:t xml:space="preserve">full-time, part-time); the type of data that was submitted (rubric scores, practical test </w:t>
      </w:r>
    </w:p>
    <w:p w:rsidR="008B452B" w:rsidRDefault="008B452B" w:rsidP="008B452B">
      <w:pPr>
        <w:ind w:left="720" w:right="-540"/>
      </w:pPr>
      <w:proofErr w:type="gramStart"/>
      <w:r>
        <w:t>results</w:t>
      </w:r>
      <w:proofErr w:type="gramEnd"/>
      <w:r>
        <w:t xml:space="preserve">, etc); and, if appropriate, if a cross-section of classes (day, evening, online) were </w:t>
      </w:r>
    </w:p>
    <w:p w:rsidR="008B452B" w:rsidRDefault="008B452B" w:rsidP="008B452B">
      <w:pPr>
        <w:ind w:left="720" w:right="-540"/>
      </w:pPr>
      <w:proofErr w:type="gramStart"/>
      <w:r>
        <w:t>assessed</w:t>
      </w:r>
      <w:proofErr w:type="gramEnd"/>
      <w:r>
        <w:t xml:space="preserve">.  If a rubric was used, you might discuss the number of students who scored </w:t>
      </w:r>
      <w:proofErr w:type="gramStart"/>
      <w:r>
        <w:t>1</w:t>
      </w:r>
      <w:proofErr w:type="gramEnd"/>
      <w:r>
        <w:t xml:space="preserve">, 2, 3, </w:t>
      </w:r>
    </w:p>
    <w:p w:rsidR="008B452B" w:rsidRDefault="008B452B" w:rsidP="008B452B">
      <w:pPr>
        <w:ind w:left="720" w:right="-540"/>
      </w:pPr>
      <w:proofErr w:type="gramStart"/>
      <w:r>
        <w:t>or</w:t>
      </w:r>
      <w:proofErr w:type="gramEnd"/>
      <w:r>
        <w:t xml:space="preserve">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proofErr w:type="gramStart"/>
      <w:r>
        <w:t>describe</w:t>
      </w:r>
      <w:proofErr w:type="gramEnd"/>
      <w:r>
        <w:t xml:space="preserve"> any changes that can be made based on the data.  Changes </w:t>
      </w:r>
      <w:proofErr w:type="gramStart"/>
      <w:r>
        <w:t>might be made</w:t>
      </w:r>
      <w:proofErr w:type="gramEnd"/>
      <w:r>
        <w:t xml:space="preserve"> to class </w:t>
      </w:r>
    </w:p>
    <w:p w:rsidR="008B452B" w:rsidRDefault="008B452B" w:rsidP="008B452B">
      <w:pPr>
        <w:ind w:left="720" w:right="-540"/>
      </w:pPr>
      <w:proofErr w:type="gramStart"/>
      <w:r>
        <w:lastRenderedPageBreak/>
        <w:t>activities</w:t>
      </w:r>
      <w:proofErr w:type="gramEnd"/>
      <w:r>
        <w:t xml:space="preserve">, assignment instructions, topics taught in class, or the course outline of record, etc.  </w:t>
      </w:r>
    </w:p>
    <w:p w:rsidR="008B452B" w:rsidRDefault="008B452B" w:rsidP="008B452B">
      <w:pPr>
        <w:ind w:left="720" w:right="-540"/>
      </w:pPr>
      <w:r>
        <w:t xml:space="preserve">You might include when the changes </w:t>
      </w:r>
      <w:proofErr w:type="gramStart"/>
      <w:r>
        <w:t>will be implemented</w:t>
      </w:r>
      <w:proofErr w:type="gramEnd"/>
      <w:r>
        <w:t xml:space="preserve"> and, if a comparison is to be made, </w:t>
      </w:r>
    </w:p>
    <w:p w:rsidR="008B452B" w:rsidRDefault="008B452B" w:rsidP="008B452B">
      <w:pPr>
        <w:ind w:left="720" w:right="-540"/>
      </w:pPr>
      <w:proofErr w:type="gramStart"/>
      <w:r>
        <w:t>when</w:t>
      </w:r>
      <w:proofErr w:type="gramEnd"/>
      <w:r>
        <w:t xml:space="preserve">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proofErr w:type="gramStart"/>
      <w:r>
        <w:t>answer</w:t>
      </w:r>
      <w:proofErr w:type="gramEnd"/>
      <w:r>
        <w:t xml:space="preserve">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w:t>
      </w:r>
      <w:proofErr w:type="gramStart"/>
      <w:r>
        <w:t>could be improved</w:t>
      </w:r>
      <w:proofErr w:type="gramEnd"/>
      <w:r>
        <w:t xml:space="preserve">.  </w:t>
      </w:r>
    </w:p>
    <w:p w:rsidR="00AF694C" w:rsidRDefault="008B452B" w:rsidP="008B452B">
      <w:pPr>
        <w:ind w:left="720" w:right="-540"/>
      </w:pPr>
      <w:r>
        <w:t xml:space="preserve">If the SLO needs to </w:t>
      </w:r>
      <w:proofErr w:type="gramStart"/>
      <w:r>
        <w:t>be tweaked</w:t>
      </w:r>
      <w:proofErr w:type="gramEnd"/>
      <w:r>
        <w:t xml:space="preserve"> or more outcomes/assessments need to be included you might </w:t>
      </w:r>
    </w:p>
    <w:p w:rsidR="00AF694C" w:rsidRDefault="008B452B" w:rsidP="00AF694C">
      <w:pPr>
        <w:ind w:left="720" w:right="-540"/>
      </w:pPr>
      <w:proofErr w:type="gramStart"/>
      <w:r>
        <w:t>want</w:t>
      </w:r>
      <w:proofErr w:type="gramEnd"/>
      <w:r>
        <w:t xml:space="preserve"> to do that now while the information is fresh.  This may allow faculty to </w:t>
      </w:r>
      <w:r w:rsidR="00AF694C">
        <w:t>modify</w:t>
      </w:r>
      <w:r>
        <w:t xml:space="preserve"> SLO(s) </w:t>
      </w:r>
    </w:p>
    <w:p w:rsidR="008B452B" w:rsidRDefault="00AF694C" w:rsidP="00AF694C">
      <w:pPr>
        <w:ind w:left="720" w:right="-540"/>
      </w:pPr>
      <w:proofErr w:type="gramStart"/>
      <w:r>
        <w:t>for</w:t>
      </w:r>
      <w:proofErr w:type="gramEnd"/>
      <w:r>
        <w:t xml:space="preserve">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w:t>
      </w:r>
      <w:r w:rsidR="00AD1179">
        <w:t xml:space="preserve">forward to SLO Coordinator and the designee in your department.  </w:t>
      </w:r>
      <w:r>
        <w:t>Thanks.</w:t>
      </w:r>
    </w:p>
    <w:p w:rsidR="008B452B" w:rsidRPr="00FB72C0" w:rsidRDefault="008B452B" w:rsidP="008B452B">
      <w:pPr>
        <w:ind w:right="-540"/>
        <w:rPr>
          <w:u w:val="single"/>
        </w:rPr>
      </w:pPr>
    </w:p>
    <w:p w:rsidR="00D810DF" w:rsidRDefault="00D810DF"/>
    <w:sectPr w:rsidR="00D810DF" w:rsidSect="005F5C72">
      <w:footerReference w:type="default" r:id="rId9"/>
      <w:footnotePr>
        <w:pos w:val="beneathText"/>
      </w:footnotePr>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39" w:rsidRDefault="00450839">
      <w:r>
        <w:separator/>
      </w:r>
    </w:p>
  </w:endnote>
  <w:endnote w:type="continuationSeparator" w:id="0">
    <w:p w:rsidR="00450839" w:rsidRDefault="0045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2B" w:rsidRDefault="00855303">
    <w:pPr>
      <w:pStyle w:val="Footer"/>
      <w:jc w:val="right"/>
    </w:pPr>
    <w:r>
      <w:t xml:space="preserve">  </w:t>
    </w:r>
    <w:r w:rsidR="008B452B">
      <w:fldChar w:fldCharType="begin"/>
    </w:r>
    <w:r w:rsidR="008B452B">
      <w:instrText xml:space="preserve"> DATE \@ "M/d/yyyy h:mm am/pm" </w:instrText>
    </w:r>
    <w:r w:rsidR="008B452B">
      <w:fldChar w:fldCharType="separate"/>
    </w:r>
    <w:r w:rsidR="0048072E">
      <w:rPr>
        <w:noProof/>
      </w:rPr>
      <w:t>9/18/2012 11:11 AM</w:t>
    </w:r>
    <w:r w:rsidR="008B452B">
      <w:fldChar w:fldCharType="end"/>
    </w:r>
    <w:r w:rsidR="008B452B">
      <w:t xml:space="preserve">              </w:t>
    </w:r>
    <w:r w:rsidR="008B452B">
      <w:fldChar w:fldCharType="begin"/>
    </w:r>
    <w:r w:rsidR="008B452B">
      <w:instrText xml:space="preserve"> PAGE   \* MERGEFORMAT </w:instrText>
    </w:r>
    <w:r w:rsidR="008B452B">
      <w:fldChar w:fldCharType="separate"/>
    </w:r>
    <w:r w:rsidR="0048072E">
      <w:rPr>
        <w:noProof/>
      </w:rPr>
      <w:t>1</w:t>
    </w:r>
    <w:r w:rsidR="008B452B">
      <w:fldChar w:fldCharType="end"/>
    </w:r>
  </w:p>
  <w:p w:rsidR="008B452B" w:rsidRDefault="008B4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39" w:rsidRDefault="00450839">
      <w:r>
        <w:separator/>
      </w:r>
    </w:p>
  </w:footnote>
  <w:footnote w:type="continuationSeparator" w:id="0">
    <w:p w:rsidR="00450839" w:rsidRDefault="00450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2B"/>
    <w:rsid w:val="00080EEA"/>
    <w:rsid w:val="000F592F"/>
    <w:rsid w:val="001517BB"/>
    <w:rsid w:val="001811ED"/>
    <w:rsid w:val="001C2944"/>
    <w:rsid w:val="001F744A"/>
    <w:rsid w:val="00240070"/>
    <w:rsid w:val="00261E31"/>
    <w:rsid w:val="00286999"/>
    <w:rsid w:val="002E24B0"/>
    <w:rsid w:val="002E46B4"/>
    <w:rsid w:val="00332953"/>
    <w:rsid w:val="00393640"/>
    <w:rsid w:val="003F4674"/>
    <w:rsid w:val="00450839"/>
    <w:rsid w:val="004608BE"/>
    <w:rsid w:val="0048072E"/>
    <w:rsid w:val="004F0B38"/>
    <w:rsid w:val="004F762F"/>
    <w:rsid w:val="00547520"/>
    <w:rsid w:val="00571418"/>
    <w:rsid w:val="005D4A12"/>
    <w:rsid w:val="005F5C72"/>
    <w:rsid w:val="00647853"/>
    <w:rsid w:val="006A6446"/>
    <w:rsid w:val="00740BE6"/>
    <w:rsid w:val="00794D81"/>
    <w:rsid w:val="007A7B8C"/>
    <w:rsid w:val="00806F8C"/>
    <w:rsid w:val="00855303"/>
    <w:rsid w:val="008B452B"/>
    <w:rsid w:val="008B6009"/>
    <w:rsid w:val="008B64A1"/>
    <w:rsid w:val="008E1C42"/>
    <w:rsid w:val="00911441"/>
    <w:rsid w:val="009678AB"/>
    <w:rsid w:val="00A35074"/>
    <w:rsid w:val="00A41E91"/>
    <w:rsid w:val="00A86926"/>
    <w:rsid w:val="00AC2DBB"/>
    <w:rsid w:val="00AD1179"/>
    <w:rsid w:val="00AF694C"/>
    <w:rsid w:val="00B335C8"/>
    <w:rsid w:val="00B57594"/>
    <w:rsid w:val="00C53D9D"/>
    <w:rsid w:val="00C657D5"/>
    <w:rsid w:val="00D57603"/>
    <w:rsid w:val="00D6579A"/>
    <w:rsid w:val="00D810DF"/>
    <w:rsid w:val="00DE2D38"/>
    <w:rsid w:val="00DF447B"/>
    <w:rsid w:val="00EE2B30"/>
    <w:rsid w:val="00F87F38"/>
    <w:rsid w:val="00FA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855303"/>
    <w:pPr>
      <w:tabs>
        <w:tab w:val="center" w:pos="4680"/>
        <w:tab w:val="right" w:pos="9360"/>
      </w:tabs>
    </w:pPr>
  </w:style>
  <w:style w:type="character" w:customStyle="1" w:styleId="HeaderChar">
    <w:name w:val="Header Char"/>
    <w:basedOn w:val="DefaultParagraphFont"/>
    <w:link w:val="Header"/>
    <w:uiPriority w:val="99"/>
    <w:semiHidden/>
    <w:rsid w:val="00855303"/>
    <w:rPr>
      <w:rFonts w:ascii="Times New Roman" w:eastAsia="Times New Roman" w:hAnsi="Times New Roman"/>
      <w:sz w:val="24"/>
      <w:szCs w:val="24"/>
      <w:lang w:eastAsia="ar-SA"/>
    </w:rPr>
  </w:style>
  <w:style w:type="table" w:styleId="TableGrid">
    <w:name w:val="Table Grid"/>
    <w:basedOn w:val="TableNormal"/>
    <w:uiPriority w:val="59"/>
    <w:rsid w:val="008E1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855303"/>
    <w:pPr>
      <w:tabs>
        <w:tab w:val="center" w:pos="4680"/>
        <w:tab w:val="right" w:pos="9360"/>
      </w:tabs>
    </w:pPr>
  </w:style>
  <w:style w:type="character" w:customStyle="1" w:styleId="HeaderChar">
    <w:name w:val="Header Char"/>
    <w:basedOn w:val="DefaultParagraphFont"/>
    <w:link w:val="Header"/>
    <w:uiPriority w:val="99"/>
    <w:semiHidden/>
    <w:rsid w:val="00855303"/>
    <w:rPr>
      <w:rFonts w:ascii="Times New Roman" w:eastAsia="Times New Roman" w:hAnsi="Times New Roman"/>
      <w:sz w:val="24"/>
      <w:szCs w:val="24"/>
      <w:lang w:eastAsia="ar-SA"/>
    </w:rPr>
  </w:style>
  <w:style w:type="table" w:styleId="TableGrid">
    <w:name w:val="Table Grid"/>
    <w:basedOn w:val="TableNormal"/>
    <w:uiPriority w:val="59"/>
    <w:rsid w:val="008E1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oni.pfister@imperia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8021</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Tina</cp:lastModifiedBy>
  <cp:revision>2</cp:revision>
  <cp:lastPrinted>2011-06-09T21:22:00Z</cp:lastPrinted>
  <dcterms:created xsi:type="dcterms:W3CDTF">2012-09-18T18:11:00Z</dcterms:created>
  <dcterms:modified xsi:type="dcterms:W3CDTF">2012-09-18T18:11:00Z</dcterms:modified>
</cp:coreProperties>
</file>