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F164B" w:rsidP="008B452B">
            <w:pPr>
              <w:snapToGrid w:val="0"/>
            </w:pPr>
            <w:r>
              <w:t>12/1/2010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5F164B" w:rsidP="008B452B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5F164B" w:rsidP="008B452B">
            <w:pPr>
              <w:snapToGrid w:val="0"/>
            </w:pPr>
            <w:r>
              <w:t xml:space="preserve">Nursing 100 </w:t>
            </w:r>
            <w:r w:rsidR="00632819">
              <w:t>Medication Mathematics</w:t>
            </w:r>
            <w:r w:rsidR="00735AF1">
              <w:t xml:space="preserve"> (1 unit)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Lead:  </w:t>
            </w:r>
            <w:r w:rsidR="00632819">
              <w:t xml:space="preserve">Williams, Jack       </w:t>
            </w:r>
            <w:r>
              <w:t xml:space="preserve">      Others:</w:t>
            </w:r>
            <w:r w:rsidR="00632819">
              <w:t xml:space="preserve">  </w:t>
            </w:r>
            <w:r w:rsidR="00324233">
              <w:t xml:space="preserve">Terrie Sullivan, Rick Fitzsimmons.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32819" w:rsidP="008B452B">
            <w:pPr>
              <w:snapToGrid w:val="0"/>
            </w:pPr>
            <w:r>
              <w:t>Pre-Nursing, Healthcare fields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632819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151CEA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B60FC1">
            <w:pPr>
              <w:snapToGrid w:val="0"/>
            </w:pPr>
            <w:r>
              <w:t>Outcome 1:</w:t>
            </w:r>
            <w:r w:rsidR="00632819">
              <w:t xml:space="preserve">  Calculate drug dose problems correctly with 92% accuracy as measured by a post-test on the first attempt in second semester.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632819" w:rsidP="008B452B">
            <w:pPr>
              <w:snapToGrid w:val="0"/>
            </w:pPr>
            <w:r>
              <w:t xml:space="preserve">Math Post-Test. </w:t>
            </w:r>
          </w:p>
          <w:p w:rsidR="00632819" w:rsidRDefault="00632819" w:rsidP="008B452B">
            <w:pPr>
              <w:snapToGrid w:val="0"/>
            </w:pPr>
            <w:r>
              <w:t xml:space="preserve">92% or better first attempt.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FC1" w:rsidP="008B452B">
            <w:pPr>
              <w:snapToGrid w:val="0"/>
            </w:pPr>
            <w:r>
              <w:t xml:space="preserve">ISLO2, ISLO4 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2:</w:t>
            </w:r>
          </w:p>
          <w:p w:rsidR="005F5C72" w:rsidRDefault="00632819" w:rsidP="008B452B">
            <w:pPr>
              <w:snapToGrid w:val="0"/>
            </w:pPr>
            <w:r>
              <w:t xml:space="preserve">State the six rights of medication administration.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B60FC1" w:rsidP="008B452B">
            <w:pPr>
              <w:snapToGrid w:val="0"/>
            </w:pPr>
            <w:r>
              <w:t>MiniQuiz Reading Labels and Rights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B60FC1" w:rsidP="008B452B">
            <w:pPr>
              <w:snapToGrid w:val="0"/>
            </w:pPr>
            <w:r>
              <w:t>ISLO1, ISLO2, ISLO3, ISLO4.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5F5C72">
            <w:pPr>
              <w:snapToGrid w:val="0"/>
            </w:pPr>
            <w:r>
              <w:t>Outcome 3:</w:t>
            </w:r>
          </w:p>
          <w:p w:rsidR="005F5C72" w:rsidRDefault="00B60FC1" w:rsidP="008B452B">
            <w:pPr>
              <w:snapToGrid w:val="0"/>
            </w:pPr>
            <w:r>
              <w:t>Calculate the flow rate of a simple primary intravenous line in ml/hr or drops/min as measured by one question on the final exam with a class average for the measured question at 100%.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B60FC1" w:rsidP="008B452B">
            <w:pPr>
              <w:snapToGrid w:val="0"/>
            </w:pPr>
            <w:r>
              <w:t>Final Exam Question 18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Default="00B60FC1" w:rsidP="008B452B">
            <w:pPr>
              <w:snapToGrid w:val="0"/>
            </w:pPr>
            <w:r>
              <w:t>ISLO2, ISLO 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</w:p>
          <w:p w:rsidR="008B452B" w:rsidRDefault="00B60FC1" w:rsidP="008B452B">
            <w:r>
              <w:t>Pass a comprehensive final exam on dosage calculations at 75%  including critical care and pediatric problems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60FC1" w:rsidP="008B452B">
            <w:pPr>
              <w:snapToGrid w:val="0"/>
            </w:pPr>
            <w:r>
              <w:t>Final Exam</w:t>
            </w:r>
            <w:r w:rsidR="00866A3B">
              <w:t xml:space="preserve"> Spring 2010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B60FC1" w:rsidP="008B452B">
            <w:pPr>
              <w:snapToGrid w:val="0"/>
            </w:pPr>
            <w:r>
              <w:t>ISLO2, 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60FC1" w:rsidRDefault="00B60FC1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B757E0" w:rsidRDefault="00B757E0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  <w:r w:rsidR="005F5C72">
        <w:rPr>
          <w:b/>
          <w:sz w:val="28"/>
          <w:szCs w:val="28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B757E0" w:rsidRPr="005F5C72" w:rsidRDefault="00866A3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66A3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 Course Number &amp; Date of Assessment Cycle Completion</w:t>
            </w:r>
          </w:p>
        </w:tc>
        <w:tc>
          <w:tcPr>
            <w:tcW w:w="8100" w:type="dxa"/>
          </w:tcPr>
          <w:p w:rsidR="008B452B" w:rsidRPr="00B60FC1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B60FC1">
              <w:rPr>
                <w:rFonts w:ascii="Arial" w:eastAsia="MS Mincho" w:hAnsi="Arial" w:cs="Arial"/>
                <w:sz w:val="22"/>
                <w:szCs w:val="22"/>
              </w:rPr>
              <w:t xml:space="preserve">Nursing 100 Medication Mathematics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60FC1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866A3B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B60FC1">
              <w:rPr>
                <w:rFonts w:ascii="Arial" w:eastAsia="MS Mincho" w:hAnsi="Arial" w:cs="Arial"/>
                <w:sz w:val="22"/>
                <w:szCs w:val="22"/>
              </w:rPr>
              <w:t>/2010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866A3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Jack Williams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866A3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0F4924" w:rsidRPr="000F4924">
              <w:rPr>
                <w:rFonts w:ascii="Arial" w:eastAsia="MS Mincho" w:hAnsi="Arial" w:cs="Arial"/>
                <w:sz w:val="22"/>
                <w:szCs w:val="22"/>
              </w:rPr>
              <w:t xml:space="preserve">The second semester students had a </w:t>
            </w:r>
            <w:r w:rsidR="00033622">
              <w:rPr>
                <w:rFonts w:ascii="Arial" w:eastAsia="MS Mincho" w:hAnsi="Arial" w:cs="Arial"/>
                <w:sz w:val="22"/>
                <w:szCs w:val="22"/>
              </w:rPr>
              <w:t>66</w:t>
            </w:r>
            <w:r w:rsidR="00866A3B" w:rsidRPr="000F4924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="000F4924" w:rsidRPr="000F4924">
              <w:rPr>
                <w:rFonts w:ascii="Arial" w:eastAsia="MS Mincho" w:hAnsi="Arial" w:cs="Arial"/>
                <w:sz w:val="22"/>
                <w:szCs w:val="22"/>
              </w:rPr>
              <w:t xml:space="preserve"> pass rate on the post test by scoring at least 92% on a 25 question math post-test during the first attempt in the Spring Semester 2010. </w:t>
            </w:r>
          </w:p>
          <w:p w:rsidR="006A6446" w:rsidRPr="000F4924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0F4924">
              <w:rPr>
                <w:rFonts w:ascii="Arial" w:eastAsia="MS Mincho" w:hAnsi="Arial" w:cs="Arial"/>
                <w:sz w:val="22"/>
                <w:szCs w:val="22"/>
              </w:rPr>
              <w:t xml:space="preserve"> The total num</w:t>
            </w:r>
            <w:r w:rsidR="00FB1703">
              <w:rPr>
                <w:rFonts w:ascii="Arial" w:eastAsia="MS Mincho" w:hAnsi="Arial" w:cs="Arial"/>
                <w:sz w:val="22"/>
                <w:szCs w:val="22"/>
              </w:rPr>
              <w:t xml:space="preserve">ber of students that completed the Mini/Quiz on labels and rights was 61.  Forty-six students obtain 100% on the quiz, which is 77%. </w:t>
            </w:r>
          </w:p>
          <w:p w:rsidR="005F5C72" w:rsidRPr="00B9122F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FB1703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B9122F">
              <w:rPr>
                <w:rFonts w:ascii="Arial" w:eastAsia="MS Mincho" w:hAnsi="Arial" w:cs="Arial"/>
                <w:sz w:val="22"/>
                <w:szCs w:val="22"/>
              </w:rPr>
              <w:t xml:space="preserve">Of the students that took the final exam 84% where able to answer question 18 correctly on IV flow rate.  </w:t>
            </w:r>
          </w:p>
          <w:p w:rsidR="008B452B" w:rsidRPr="0003362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  <w:r w:rsidR="00B9122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 w:rsidR="00B9122F">
              <w:rPr>
                <w:rFonts w:ascii="Arial" w:eastAsia="MS Mincho" w:hAnsi="Arial" w:cs="Arial"/>
                <w:sz w:val="22"/>
                <w:szCs w:val="22"/>
              </w:rPr>
              <w:t>Of the st</w:t>
            </w:r>
            <w:r w:rsidR="00033622">
              <w:rPr>
                <w:rFonts w:ascii="Arial" w:eastAsia="MS Mincho" w:hAnsi="Arial" w:cs="Arial"/>
                <w:sz w:val="22"/>
                <w:szCs w:val="22"/>
              </w:rPr>
              <w:t>udents that took the final exam,</w:t>
            </w:r>
            <w:r w:rsidR="00B9122F">
              <w:rPr>
                <w:rFonts w:ascii="Arial" w:eastAsia="MS Mincho" w:hAnsi="Arial" w:cs="Arial"/>
                <w:sz w:val="22"/>
                <w:szCs w:val="22"/>
              </w:rPr>
              <w:t xml:space="preserve"> 93% passed the Final Exam with</w:t>
            </w:r>
            <w:r w:rsidR="00033622">
              <w:rPr>
                <w:rFonts w:ascii="Arial" w:eastAsia="MS Mincho" w:hAnsi="Arial" w:cs="Arial"/>
                <w:sz w:val="22"/>
                <w:szCs w:val="22"/>
              </w:rPr>
              <w:t xml:space="preserve"> a score of 75% or better (7% failed).   Only 29% of the students obtained a score on the final exam greater than 92%.  </w:t>
            </w:r>
            <w:r w:rsidR="00B9122F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8B452B" w:rsidRDefault="0003362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Outcome 1: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 will not measure this outcome in the future.  Nursing 100 has been changed to a prerequisite class</w:t>
            </w:r>
            <w:r w:rsidR="00C56B02">
              <w:rPr>
                <w:rFonts w:ascii="Arial" w:eastAsia="MS Mincho" w:hAnsi="Arial" w:cs="Arial"/>
                <w:sz w:val="22"/>
                <w:szCs w:val="22"/>
              </w:rPr>
              <w:t xml:space="preserve"> for the RN program</w:t>
            </w:r>
            <w:r w:rsidR="00735AF1">
              <w:rPr>
                <w:rFonts w:ascii="Arial" w:eastAsia="MS Mincho" w:hAnsi="Arial" w:cs="Arial"/>
                <w:sz w:val="22"/>
                <w:szCs w:val="22"/>
              </w:rPr>
              <w:t xml:space="preserve"> and is </w:t>
            </w:r>
            <w:r w:rsidR="00C56B02">
              <w:rPr>
                <w:rFonts w:ascii="Arial" w:eastAsia="MS Mincho" w:hAnsi="Arial" w:cs="Arial"/>
                <w:sz w:val="22"/>
                <w:szCs w:val="22"/>
              </w:rPr>
              <w:t xml:space="preserve">taken prior to </w:t>
            </w:r>
            <w:r w:rsidR="00735AF1">
              <w:rPr>
                <w:rFonts w:ascii="Arial" w:eastAsia="MS Mincho" w:hAnsi="Arial" w:cs="Arial"/>
                <w:sz w:val="22"/>
                <w:szCs w:val="22"/>
              </w:rPr>
              <w:t xml:space="preserve">entering the nursing program.  </w:t>
            </w:r>
            <w:r w:rsidR="00C56B02">
              <w:rPr>
                <w:rFonts w:ascii="Arial" w:eastAsia="MS Mincho" w:hAnsi="Arial" w:cs="Arial"/>
                <w:sz w:val="22"/>
                <w:szCs w:val="22"/>
              </w:rPr>
              <w:t xml:space="preserve">Some students may enter the nursing program as advanced placement students and have taken the class at another college.  Some students may have a long lag time after taking Nursing 100 and entering into the Nursing Program.  Some students taking the Nursing 100 class are entering into other health professions.  </w:t>
            </w:r>
            <w:r w:rsidR="00735AF1">
              <w:rPr>
                <w:rFonts w:ascii="Arial" w:eastAsia="MS Mincho" w:hAnsi="Arial" w:cs="Arial"/>
                <w:sz w:val="22"/>
                <w:szCs w:val="22"/>
              </w:rPr>
              <w:t xml:space="preserve">No change in course outline. </w:t>
            </w:r>
          </w:p>
          <w:p w:rsidR="00735AF1" w:rsidRDefault="00735AF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Outcome 2: </w:t>
            </w:r>
            <w:r>
              <w:rPr>
                <w:rFonts w:ascii="Arial" w:eastAsia="MS Mincho" w:hAnsi="Arial" w:cs="Arial"/>
                <w:sz w:val="22"/>
                <w:szCs w:val="22"/>
              </w:rPr>
              <w:t>This SLO will be changed.  “The student will score 100% on the Labels and Rights Mini-quiz.”</w:t>
            </w:r>
          </w:p>
          <w:p w:rsidR="00735AF1" w:rsidRDefault="00735AF1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35AF1">
              <w:rPr>
                <w:rFonts w:ascii="Arial" w:eastAsia="MS Mincho" w:hAnsi="Arial" w:cs="Arial"/>
                <w:b/>
                <w:sz w:val="22"/>
                <w:szCs w:val="22"/>
              </w:rPr>
              <w:t>Outcome 3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This SLO will be removed. It collects data on a very narrow aspect of medication calculations.  No change to course outline. </w:t>
            </w:r>
          </w:p>
          <w:p w:rsidR="00C56B02" w:rsidRPr="00C56B02" w:rsidRDefault="00C56B0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C56B0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Outcome 4: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The SLO will be changed.  “Students will pass a comprehensive final exam on dosage calculations with a score of 92%.”  //   Students in the RN program must pass a post-test with 92% in 1</w:t>
            </w:r>
            <w:r w:rsidRPr="00C56B02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MS Mincho" w:hAnsi="Arial" w:cs="Arial"/>
                <w:sz w:val="22"/>
                <w:szCs w:val="22"/>
              </w:rPr>
              <w:t>, 2</w:t>
            </w:r>
            <w:r w:rsidRPr="00C56B02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eastAsia="MS Mincho" w:hAnsi="Arial" w:cs="Arial"/>
                <w:sz w:val="22"/>
                <w:szCs w:val="22"/>
              </w:rPr>
              <w:t>, 3</w:t>
            </w:r>
            <w:r w:rsidRPr="00C56B02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MS Mincho" w:hAnsi="Arial" w:cs="Arial"/>
                <w:sz w:val="22"/>
                <w:szCs w:val="22"/>
              </w:rPr>
              <w:t>, and 4</w:t>
            </w:r>
            <w:r w:rsidRPr="00C56B02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semester respectively.  They </w:t>
            </w:r>
            <w:r w:rsidR="00324233">
              <w:rPr>
                <w:rFonts w:ascii="Arial" w:eastAsia="MS Mincho" w:hAnsi="Arial" w:cs="Arial"/>
                <w:sz w:val="22"/>
                <w:szCs w:val="22"/>
              </w:rPr>
              <w:t>have three attempts to score 92% before being removed from the program.  The student outcome should match what they actually must be able to do in the Nursing Program.  (See the ADRN Student Handbook)</w:t>
            </w:r>
            <w:r w:rsidR="00BC490E">
              <w:rPr>
                <w:rFonts w:ascii="Arial" w:eastAsia="MS Mincho" w:hAnsi="Arial" w:cs="Arial"/>
                <w:sz w:val="22"/>
                <w:szCs w:val="22"/>
              </w:rPr>
              <w:t xml:space="preserve">.  No change in course outline. 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C425E2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Was the process effective?  Will you change the outcome/ assessment for next year? (e.g., alter the SLO,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lastRenderedPageBreak/>
              <w:t>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FB72C0" w:rsidRDefault="003242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Outcomes will continue to be measure and changed as outlined above. Mastery of this subject area is essential for safe nursing practice.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8B452B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AD1179" w:rsidRPr="005F5C72" w:rsidRDefault="00AD1179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324233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Nursing 100 is now a prerequisite class for the RN nursing program</w:t>
            </w:r>
            <w:r w:rsidR="004C45EB">
              <w:rPr>
                <w:rFonts w:ascii="Arial" w:eastAsia="MS Mincho" w:hAnsi="Arial" w:cs="Arial"/>
                <w:sz w:val="22"/>
                <w:szCs w:val="22"/>
              </w:rPr>
              <w:t>.  Students’ mastery of medication calculation must be verified on an ongoing basis in the nursing program, which is currently done.  Mastery of this subject is only maintained with continual practice.  I would like to compare the Post-test results for students exiting the nursing program in 4</w:t>
            </w:r>
            <w:r w:rsidR="004C45EB" w:rsidRPr="004C45EB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th</w:t>
            </w:r>
            <w:r w:rsidR="004C45EB">
              <w:rPr>
                <w:rFonts w:ascii="Arial" w:eastAsia="MS Mincho" w:hAnsi="Arial" w:cs="Arial"/>
                <w:sz w:val="22"/>
                <w:szCs w:val="22"/>
              </w:rPr>
              <w:t xml:space="preserve"> semester.  This measurement would have a time lag of over two years.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B9122F" w:rsidRDefault="00B9122F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B9122F" w:rsidRPr="002A7F76" w:rsidRDefault="00B9122F" w:rsidP="00B9122F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B9122F" w:rsidRPr="00C35EE9" w:rsidRDefault="00B9122F" w:rsidP="00B9122F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B9122F" w:rsidRDefault="00B9122F" w:rsidP="00B9122F">
      <w:pPr>
        <w:ind w:right="-540"/>
        <w:rPr>
          <w:u w:val="single"/>
        </w:rPr>
      </w:pPr>
    </w:p>
    <w:p w:rsidR="00B9122F" w:rsidRPr="00AF694C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B9122F" w:rsidRPr="00AF694C" w:rsidRDefault="00B9122F" w:rsidP="00B9122F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B9122F" w:rsidRPr="00B457C0" w:rsidRDefault="00B9122F" w:rsidP="00B9122F">
      <w:pPr>
        <w:ind w:left="720" w:right="-540"/>
        <w:rPr>
          <w:u w:val="single"/>
        </w:rPr>
      </w:pPr>
    </w:p>
    <w:p w:rsidR="00B9122F" w:rsidRPr="002A7F76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B9122F" w:rsidRPr="002A7F76" w:rsidRDefault="00B9122F" w:rsidP="00B9122F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B9122F" w:rsidRPr="002A7F76" w:rsidRDefault="00B9122F" w:rsidP="00B9122F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B9122F" w:rsidRPr="00C35EE9" w:rsidRDefault="00B9122F" w:rsidP="00B9122F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B9122F" w:rsidRDefault="00B9122F" w:rsidP="00B9122F">
      <w:pPr>
        <w:ind w:left="720" w:right="-540"/>
      </w:pPr>
      <w:r>
        <w:t>the data.  These names may be the same or different than those on the original SLO ID form.</w:t>
      </w:r>
    </w:p>
    <w:p w:rsidR="00B9122F" w:rsidRPr="00C35EE9" w:rsidRDefault="00B9122F" w:rsidP="00B9122F">
      <w:pPr>
        <w:ind w:left="720" w:right="-540"/>
        <w:rPr>
          <w:u w:val="single"/>
        </w:rPr>
      </w:pPr>
    </w:p>
    <w:p w:rsidR="00B9122F" w:rsidRPr="00C35EE9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B9122F" w:rsidRDefault="00B9122F" w:rsidP="00B9122F">
      <w:pPr>
        <w:ind w:left="720" w:right="-540"/>
      </w:pPr>
      <w:r>
        <w:t xml:space="preserve">years.  At this time you do not need to submit the raw data, but please keep it for future quality </w:t>
      </w:r>
    </w:p>
    <w:p w:rsidR="00B9122F" w:rsidRDefault="00B9122F" w:rsidP="00B9122F">
      <w:pPr>
        <w:ind w:left="720" w:right="-540"/>
      </w:pPr>
      <w:r>
        <w:t xml:space="preserve">control measures.  Please summarize the data that you collected.  You should include how well </w:t>
      </w:r>
    </w:p>
    <w:p w:rsidR="00B9122F" w:rsidRDefault="00B9122F" w:rsidP="00B9122F">
      <w:pPr>
        <w:ind w:left="720" w:right="-540"/>
      </w:pPr>
      <w:r>
        <w:t xml:space="preserve">students scored on the assessment.  You might also include: how many instructors submitted </w:t>
      </w:r>
    </w:p>
    <w:p w:rsidR="00B9122F" w:rsidRDefault="00B9122F" w:rsidP="00B9122F">
      <w:pPr>
        <w:ind w:left="720" w:right="-540"/>
      </w:pPr>
      <w:r>
        <w:t xml:space="preserve">data(full-time, part-time); the type of data that was submitted (rubric scores, practical test </w:t>
      </w:r>
    </w:p>
    <w:p w:rsidR="00B9122F" w:rsidRDefault="00B9122F" w:rsidP="00B9122F">
      <w:pPr>
        <w:ind w:left="720" w:right="-540"/>
      </w:pPr>
      <w:r>
        <w:t xml:space="preserve">results, etc); and, if appropriate, if a cross-section of classes (day, evening, online) were </w:t>
      </w:r>
    </w:p>
    <w:p w:rsidR="00B9122F" w:rsidRDefault="00B9122F" w:rsidP="00B9122F">
      <w:pPr>
        <w:ind w:left="720" w:right="-540"/>
      </w:pPr>
      <w:r>
        <w:t xml:space="preserve">assessed.  If a rubric was used, you might discuss the number of students who scored 1, 2, 3, </w:t>
      </w:r>
    </w:p>
    <w:p w:rsidR="00B9122F" w:rsidRDefault="00B9122F" w:rsidP="00B9122F">
      <w:pPr>
        <w:ind w:left="720" w:right="-540"/>
      </w:pPr>
      <w:r>
        <w:t xml:space="preserve">or 4, for example, on the rubric.  </w:t>
      </w:r>
    </w:p>
    <w:p w:rsidR="00B9122F" w:rsidRPr="00C35EE9" w:rsidRDefault="00B9122F" w:rsidP="00B9122F">
      <w:pPr>
        <w:ind w:left="720" w:right="-540"/>
        <w:rPr>
          <w:u w:val="single"/>
        </w:rPr>
      </w:pPr>
    </w:p>
    <w:p w:rsidR="00B9122F" w:rsidRPr="00C35EE9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B9122F" w:rsidRDefault="00B9122F" w:rsidP="00B9122F">
      <w:pPr>
        <w:ind w:left="720" w:right="-540"/>
      </w:pPr>
      <w:r>
        <w:t xml:space="preserve">describe any changes that can be made based on the data.  Changes might be made to class </w:t>
      </w:r>
    </w:p>
    <w:p w:rsidR="00B9122F" w:rsidRDefault="00B9122F" w:rsidP="00B9122F">
      <w:pPr>
        <w:ind w:left="720" w:right="-540"/>
      </w:pPr>
      <w:r>
        <w:t xml:space="preserve">activities, assignment instructions, topics taught in class, or the course outline of record, etc.  </w:t>
      </w:r>
    </w:p>
    <w:p w:rsidR="00B9122F" w:rsidRDefault="00B9122F" w:rsidP="00B9122F">
      <w:pPr>
        <w:ind w:left="720" w:right="-540"/>
      </w:pPr>
      <w:r>
        <w:t xml:space="preserve">You might include when the changes will be implemented and, if a comparison is to be made, </w:t>
      </w:r>
    </w:p>
    <w:p w:rsidR="00B9122F" w:rsidRDefault="00B9122F" w:rsidP="00B9122F">
      <w:pPr>
        <w:ind w:left="720" w:right="-540"/>
      </w:pPr>
      <w:r>
        <w:t xml:space="preserve">when the next round of data will be collected (e.g. Fall 2009). </w:t>
      </w:r>
    </w:p>
    <w:p w:rsidR="00B9122F" w:rsidRDefault="00B9122F" w:rsidP="00B9122F">
      <w:pPr>
        <w:ind w:left="720" w:right="-540"/>
      </w:pPr>
    </w:p>
    <w:p w:rsidR="00B9122F" w:rsidRDefault="00B9122F" w:rsidP="00B9122F">
      <w:pPr>
        <w:ind w:left="720" w:right="-540"/>
      </w:pPr>
      <w:r>
        <w:t xml:space="preserve">Then, answer “Yes” or “No” to the curriculum question – no explanations required but please </w:t>
      </w:r>
    </w:p>
    <w:p w:rsidR="00B9122F" w:rsidRDefault="00B9122F" w:rsidP="00B9122F">
      <w:pPr>
        <w:ind w:left="720" w:right="-540"/>
      </w:pPr>
      <w:r>
        <w:t>answer the question.</w:t>
      </w:r>
    </w:p>
    <w:p w:rsidR="00B9122F" w:rsidRPr="00C35EE9" w:rsidRDefault="00B9122F" w:rsidP="00B9122F">
      <w:pPr>
        <w:ind w:left="720" w:right="-540"/>
        <w:rPr>
          <w:u w:val="single"/>
        </w:rPr>
      </w:pPr>
    </w:p>
    <w:p w:rsidR="00B9122F" w:rsidRPr="00AF694C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B9122F" w:rsidRDefault="00B9122F" w:rsidP="00B9122F">
      <w:pPr>
        <w:ind w:left="720" w:right="-540"/>
      </w:pPr>
      <w:r>
        <w:t xml:space="preserve">If the SLO needs to be tweaked or more outcomes/assessments need to be included you might </w:t>
      </w:r>
    </w:p>
    <w:p w:rsidR="00B9122F" w:rsidRDefault="00B9122F" w:rsidP="00B9122F">
      <w:pPr>
        <w:ind w:left="720" w:right="-540"/>
      </w:pPr>
      <w:r>
        <w:t xml:space="preserve">want to do that now while the information is fresh.  This may allow faculty to modify SLO(s) </w:t>
      </w:r>
    </w:p>
    <w:p w:rsidR="00B9122F" w:rsidRDefault="00B9122F" w:rsidP="00B9122F">
      <w:pPr>
        <w:ind w:left="720" w:right="-540"/>
      </w:pPr>
      <w:r>
        <w:t>for next year and be prepared to include them on next year’s syllabus.</w:t>
      </w:r>
    </w:p>
    <w:p w:rsidR="00B9122F" w:rsidRPr="00C35EE9" w:rsidRDefault="00B9122F" w:rsidP="00B9122F">
      <w:pPr>
        <w:ind w:left="720" w:right="-540"/>
        <w:rPr>
          <w:u w:val="single"/>
        </w:rPr>
      </w:pPr>
    </w:p>
    <w:p w:rsidR="00B9122F" w:rsidRPr="00AF694C" w:rsidRDefault="00B9122F" w:rsidP="00B9122F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B9122F" w:rsidRDefault="00B9122F" w:rsidP="00B9122F">
      <w:pPr>
        <w:ind w:left="720" w:right="-540"/>
      </w:pPr>
    </w:p>
    <w:p w:rsidR="00B9122F" w:rsidRDefault="00B9122F" w:rsidP="00BC490E">
      <w:pPr>
        <w:ind w:right="-540"/>
      </w:pPr>
    </w:p>
    <w:p w:rsidR="005F5C72" w:rsidRPr="00BC490E" w:rsidRDefault="00B9122F" w:rsidP="00BC490E">
      <w:pPr>
        <w:ind w:left="720" w:right="-540"/>
        <w:rPr>
          <w:u w:val="single"/>
        </w:rPr>
      </w:pPr>
      <w:r>
        <w:t>When completed, please forward to SLO Coordinator and the designee in your department.  Thanks.</w:t>
      </w:r>
    </w:p>
    <w:sectPr w:rsidR="005F5C72" w:rsidRPr="00BC490E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85" w:rsidRDefault="00194685">
      <w:r>
        <w:separator/>
      </w:r>
    </w:p>
  </w:endnote>
  <w:endnote w:type="continuationSeparator" w:id="0">
    <w:p w:rsidR="00194685" w:rsidRDefault="0019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8B452B">
    <w:pPr>
      <w:pStyle w:val="Footer"/>
      <w:jc w:val="right"/>
    </w:pPr>
    <w:r>
      <w:t xml:space="preserve">              </w:t>
    </w:r>
    <w:fldSimple w:instr=" PAGE   \* MERGEFORMAT ">
      <w:r w:rsidR="00FD590D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85" w:rsidRDefault="00194685">
      <w:r>
        <w:separator/>
      </w:r>
    </w:p>
  </w:footnote>
  <w:footnote w:type="continuationSeparator" w:id="0">
    <w:p w:rsidR="00194685" w:rsidRDefault="0019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E08"/>
    <w:multiLevelType w:val="hybridMultilevel"/>
    <w:tmpl w:val="9F502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5519"/>
    <w:multiLevelType w:val="hybridMultilevel"/>
    <w:tmpl w:val="C246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3622"/>
    <w:rsid w:val="000F4924"/>
    <w:rsid w:val="00151CEA"/>
    <w:rsid w:val="00194685"/>
    <w:rsid w:val="001D67A2"/>
    <w:rsid w:val="001F744A"/>
    <w:rsid w:val="00324233"/>
    <w:rsid w:val="00393640"/>
    <w:rsid w:val="003F4674"/>
    <w:rsid w:val="004152E7"/>
    <w:rsid w:val="004C45EB"/>
    <w:rsid w:val="004F0B38"/>
    <w:rsid w:val="00547520"/>
    <w:rsid w:val="005F164B"/>
    <w:rsid w:val="005F5C72"/>
    <w:rsid w:val="00632819"/>
    <w:rsid w:val="006A6446"/>
    <w:rsid w:val="00735AF1"/>
    <w:rsid w:val="00866A3B"/>
    <w:rsid w:val="008B452B"/>
    <w:rsid w:val="008B6009"/>
    <w:rsid w:val="00A41E91"/>
    <w:rsid w:val="00AD1179"/>
    <w:rsid w:val="00AF694C"/>
    <w:rsid w:val="00B60FC1"/>
    <w:rsid w:val="00B757E0"/>
    <w:rsid w:val="00B9122F"/>
    <w:rsid w:val="00BC490E"/>
    <w:rsid w:val="00C425E2"/>
    <w:rsid w:val="00C53D9D"/>
    <w:rsid w:val="00C56B02"/>
    <w:rsid w:val="00D810DF"/>
    <w:rsid w:val="00D91709"/>
    <w:rsid w:val="00EE2B30"/>
    <w:rsid w:val="00F44EB9"/>
    <w:rsid w:val="00F87F38"/>
    <w:rsid w:val="00FB1703"/>
    <w:rsid w:val="00F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B75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7E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Pfister</dc:creator>
  <cp:keywords/>
  <dc:description/>
  <cp:lastModifiedBy>Toni Pfister</cp:lastModifiedBy>
  <cp:revision>2</cp:revision>
  <dcterms:created xsi:type="dcterms:W3CDTF">2010-12-09T22:55:00Z</dcterms:created>
  <dcterms:modified xsi:type="dcterms:W3CDTF">2010-12-09T22:55:00Z</dcterms:modified>
</cp:coreProperties>
</file>