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EB4B85" w:rsidP="008B452B">
            <w:pPr>
              <w:snapToGrid w:val="0"/>
            </w:pPr>
            <w:r>
              <w:t>5-28-11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 xml:space="preserve">French </w:t>
            </w:r>
            <w:r w:rsidR="00C705AB">
              <w:t xml:space="preserve"> 211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5666EB">
            <w:pPr>
              <w:snapToGrid w:val="0"/>
            </w:pPr>
            <w:r>
              <w:t>Lead: Glen</w:t>
            </w:r>
            <w:r w:rsidR="005666EB">
              <w:t>n</w:t>
            </w:r>
            <w:r>
              <w:t xml:space="preserve">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5B6AFE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A2D" w:rsidRDefault="008E7A2D" w:rsidP="008E7A2D">
            <w:r>
              <w:t>Demonstrate understanding of contextualized syntactical, grammatical and structural clues in written French to comprehend and communicate successfully in spoken and/or written French.</w:t>
            </w:r>
          </w:p>
          <w:p w:rsidR="00307E40" w:rsidRDefault="00307E40" w:rsidP="00307E40"/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A6768A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07701E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07701E">
              <w:rPr>
                <w:rFonts w:ascii="Arial" w:eastAsia="MS Mincho" w:hAnsi="Arial" w:cs="Arial"/>
                <w:sz w:val="22"/>
                <w:szCs w:val="22"/>
              </w:rPr>
              <w:t xml:space="preserve">    French 211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07701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7701E">
              <w:rPr>
                <w:rFonts w:ascii="Arial" w:eastAsia="MS Mincho" w:hAnsi="Arial" w:cs="Arial"/>
                <w:sz w:val="22"/>
                <w:szCs w:val="22"/>
              </w:rPr>
              <w:t>11-18-2011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0770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Pr="0007701E" w:rsidRDefault="006A6446" w:rsidP="0007701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="0007701E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</w:p>
          <w:p w:rsidR="00DD6B17" w:rsidRDefault="00DD6B17" w:rsidP="00DD6B17">
            <w:r>
              <w:rPr>
                <w:rFonts w:ascii="Arial" w:eastAsia="MS Mincho" w:hAnsi="Arial" w:cs="Arial"/>
                <w:sz w:val="22"/>
                <w:szCs w:val="22"/>
              </w:rPr>
              <w:t xml:space="preserve">Data from French 211 spring 2011 was analyzed.  </w:t>
            </w:r>
            <w:r w:rsidR="00EF1CB7">
              <w:rPr>
                <w:rFonts w:ascii="Arial" w:eastAsia="MS Mincho" w:hAnsi="Arial" w:cs="Arial"/>
                <w:sz w:val="22"/>
                <w:szCs w:val="22"/>
              </w:rPr>
              <w:t>In 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written assignment</w:t>
            </w:r>
            <w:r w:rsidR="00EF1CB7">
              <w:rPr>
                <w:rFonts w:ascii="Arial" w:eastAsia="MS Mincho" w:hAnsi="Arial" w:cs="Arial"/>
                <w:sz w:val="22"/>
                <w:szCs w:val="22"/>
              </w:rPr>
              <w:t>, students used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contextualized syntactical, grammatical and structural clues </w:t>
            </w:r>
            <w:r w:rsidR="00EF1CB7">
              <w:rPr>
                <w:rFonts w:ascii="Arial" w:eastAsia="MS Mincho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demonstrate </w:t>
            </w:r>
            <w:r w:rsidR="00EF1CB7">
              <w:rPr>
                <w:rFonts w:ascii="Arial" w:eastAsia="MS Mincho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eastAsia="MS Mincho" w:hAnsi="Arial" w:cs="Arial"/>
                <w:sz w:val="22"/>
                <w:szCs w:val="22"/>
              </w:rPr>
              <w:t>comprehension and communication skills in written French.</w:t>
            </w:r>
            <w:r w:rsidR="00CD719A">
              <w:rPr>
                <w:rFonts w:ascii="Arial" w:eastAsia="MS Mincho" w:hAnsi="Arial" w:cs="Arial"/>
                <w:sz w:val="22"/>
                <w:szCs w:val="22"/>
              </w:rPr>
              <w:t xml:space="preserve">  The assignment required students to </w:t>
            </w:r>
            <w:r w:rsidR="0031694C">
              <w:rPr>
                <w:rFonts w:ascii="Arial" w:eastAsia="MS Mincho" w:hAnsi="Arial" w:cs="Arial"/>
                <w:sz w:val="22"/>
                <w:szCs w:val="22"/>
              </w:rPr>
              <w:t>place</w:t>
            </w:r>
            <w:r w:rsidR="00CD719A">
              <w:rPr>
                <w:rFonts w:ascii="Arial" w:eastAsia="MS Mincho" w:hAnsi="Arial" w:cs="Arial"/>
                <w:sz w:val="22"/>
                <w:szCs w:val="22"/>
              </w:rPr>
              <w:t xml:space="preserve"> fictional characters in hypothetical situations.  </w:t>
            </w:r>
            <w:r w:rsidR="00C13B54">
              <w:rPr>
                <w:rFonts w:ascii="Arial" w:eastAsia="MS Mincho" w:hAnsi="Arial" w:cs="Arial"/>
                <w:sz w:val="22"/>
                <w:szCs w:val="22"/>
              </w:rPr>
              <w:t xml:space="preserve">Students </w:t>
            </w:r>
            <w:r w:rsidR="0031694C">
              <w:rPr>
                <w:rFonts w:ascii="Arial" w:eastAsia="MS Mincho" w:hAnsi="Arial" w:cs="Arial"/>
                <w:sz w:val="22"/>
                <w:szCs w:val="22"/>
              </w:rPr>
              <w:t xml:space="preserve">used their previous knowledge of these </w:t>
            </w:r>
            <w:r w:rsidR="00C13B54">
              <w:rPr>
                <w:rFonts w:ascii="Arial" w:eastAsia="MS Mincho" w:hAnsi="Arial" w:cs="Arial"/>
                <w:sz w:val="22"/>
                <w:szCs w:val="22"/>
              </w:rPr>
              <w:t xml:space="preserve">characters to help them 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>formulate</w:t>
            </w:r>
            <w:r w:rsidR="00C13B54">
              <w:rPr>
                <w:rFonts w:ascii="Arial" w:eastAsia="MS Mincho" w:hAnsi="Arial" w:cs="Arial"/>
                <w:sz w:val="22"/>
                <w:szCs w:val="22"/>
              </w:rPr>
              <w:t xml:space="preserve"> appropriate response</w:t>
            </w:r>
            <w:r w:rsidR="007B7145">
              <w:rPr>
                <w:rFonts w:ascii="Arial" w:eastAsia="MS Mincho" w:hAnsi="Arial" w:cs="Arial"/>
                <w:sz w:val="22"/>
                <w:szCs w:val="22"/>
              </w:rPr>
              <w:t xml:space="preserve">s.  The exercise was based on extensive 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 xml:space="preserve">cultural information that students 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 xml:space="preserve">were </w:t>
            </w:r>
            <w:r w:rsidR="00006B1D">
              <w:rPr>
                <w:rFonts w:ascii="Arial" w:eastAsia="MS Mincho" w:hAnsi="Arial" w:cs="Arial"/>
                <w:sz w:val="22"/>
                <w:szCs w:val="22"/>
              </w:rPr>
              <w:t>required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 xml:space="preserve"> to </w:t>
            </w:r>
            <w:r w:rsidR="006B57BE">
              <w:rPr>
                <w:rFonts w:ascii="Arial" w:eastAsia="MS Mincho" w:hAnsi="Arial" w:cs="Arial"/>
                <w:sz w:val="22"/>
                <w:szCs w:val="22"/>
              </w:rPr>
              <w:t xml:space="preserve">comprehend and 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>assimilate</w:t>
            </w:r>
            <w:r w:rsidR="0031694C">
              <w:rPr>
                <w:rFonts w:ascii="Arial" w:eastAsia="MS Mincho" w:hAnsi="Arial" w:cs="Arial"/>
                <w:sz w:val="22"/>
                <w:szCs w:val="22"/>
              </w:rPr>
              <w:t xml:space="preserve">.  As such, </w:t>
            </w:r>
            <w:r w:rsidR="007B7145">
              <w:rPr>
                <w:rFonts w:ascii="Arial" w:eastAsia="MS Mincho" w:hAnsi="Arial" w:cs="Arial"/>
                <w:sz w:val="22"/>
                <w:szCs w:val="22"/>
              </w:rPr>
              <w:t xml:space="preserve">it 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 xml:space="preserve">was particularly 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>useful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 xml:space="preserve"> in addressing ISLO1 and ISLO5.  However, it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 xml:space="preserve">effectiveness 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 xml:space="preserve">was limited 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 xml:space="preserve">concerning 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>ISLO2</w:t>
            </w:r>
            <w:r w:rsidR="00B6544F">
              <w:rPr>
                <w:rFonts w:ascii="Arial" w:eastAsia="MS Mincho" w:hAnsi="Arial" w:cs="Arial"/>
                <w:sz w:val="22"/>
                <w:szCs w:val="22"/>
              </w:rPr>
              <w:t xml:space="preserve"> and ISLO3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>.  This was because</w:t>
            </w:r>
            <w:r w:rsidR="008B029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 xml:space="preserve">suggested answers 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 xml:space="preserve">to the hypothetical situations 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 xml:space="preserve">were provided, thus enabling students simply to identify 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 xml:space="preserve">the appropriate 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>respon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>ses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 xml:space="preserve"> rather than requiring 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>them to</w:t>
            </w:r>
            <w:r w:rsidR="00A82164">
              <w:rPr>
                <w:rFonts w:ascii="Arial" w:eastAsia="MS Mincho" w:hAnsi="Arial" w:cs="Arial"/>
                <w:sz w:val="22"/>
                <w:szCs w:val="22"/>
              </w:rPr>
              <w:t xml:space="preserve"> make up their own</w:t>
            </w:r>
            <w:r w:rsidR="00F06D1A">
              <w:rPr>
                <w:rFonts w:ascii="Arial" w:eastAsia="MS Mincho" w:hAnsi="Arial" w:cs="Arial"/>
                <w:sz w:val="22"/>
                <w:szCs w:val="22"/>
              </w:rPr>
              <w:t xml:space="preserve"> responses.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13887" w:rsidRDefault="005C1CA7" w:rsidP="005C1CA7">
            <w:pPr>
              <w:keepNext/>
              <w:spacing w:before="240" w:after="120"/>
            </w:pPr>
            <w:r>
              <w:rPr>
                <w:rFonts w:ascii="Arial" w:eastAsia="MS Mincho" w:hAnsi="Arial" w:cs="Arial"/>
                <w:sz w:val="22"/>
                <w:szCs w:val="22"/>
              </w:rPr>
              <w:t>Since the assignment performed by the students was supplemented by additional assignments that adequately addressed ISLO2 and ISLO3, no change to the curriculum, course outline or syllabus will be made.</w:t>
            </w:r>
            <w:r w:rsidR="008B452B"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2902FB" w:rsidP="00023C7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 in that the </w:t>
            </w:r>
            <w:r w:rsidR="00120BA1">
              <w:rPr>
                <w:rFonts w:ascii="Arial" w:eastAsia="MS Mincho" w:hAnsi="Arial" w:cs="Arial"/>
                <w:sz w:val="22"/>
                <w:szCs w:val="22"/>
              </w:rPr>
              <w:t>assessment tool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demonstrated adequate student progress was being made in ISLO1 and ISLO5.  It also pointed to </w:t>
            </w:r>
            <w:r w:rsidR="00113B5D">
              <w:rPr>
                <w:rFonts w:ascii="Arial" w:eastAsia="MS Mincho" w:hAnsi="Arial" w:cs="Arial"/>
                <w:sz w:val="22"/>
                <w:szCs w:val="22"/>
              </w:rPr>
              <w:t>a justification for the</w:t>
            </w:r>
            <w:r w:rsidR="008B21D4">
              <w:rPr>
                <w:rFonts w:ascii="Arial" w:eastAsia="MS Mincho" w:hAnsi="Arial" w:cs="Arial"/>
                <w:sz w:val="22"/>
                <w:szCs w:val="22"/>
              </w:rPr>
              <w:t xml:space="preserve"> additional assignments </w:t>
            </w:r>
            <w:r w:rsidR="00113B5D">
              <w:rPr>
                <w:rFonts w:ascii="Arial" w:eastAsia="MS Mincho" w:hAnsi="Arial" w:cs="Arial"/>
                <w:sz w:val="22"/>
                <w:szCs w:val="22"/>
              </w:rPr>
              <w:t xml:space="preserve">that were given to </w:t>
            </w:r>
            <w:r w:rsidR="008B21D4">
              <w:rPr>
                <w:rFonts w:ascii="Arial" w:eastAsia="MS Mincho" w:hAnsi="Arial" w:cs="Arial"/>
                <w:sz w:val="22"/>
                <w:szCs w:val="22"/>
              </w:rPr>
              <w:t>achieve the goals of ISLO2 and ISLO3.</w:t>
            </w:r>
            <w:r w:rsidR="00120BA1">
              <w:rPr>
                <w:rFonts w:ascii="Arial" w:eastAsia="MS Mincho" w:hAnsi="Arial" w:cs="Arial"/>
                <w:sz w:val="22"/>
                <w:szCs w:val="22"/>
              </w:rPr>
              <w:t xml:space="preserve">  The SLO will not be changed, however, a different assessment tool </w:t>
            </w:r>
            <w:r w:rsidR="00023C79">
              <w:rPr>
                <w:rFonts w:ascii="Arial" w:eastAsia="MS Mincho" w:hAnsi="Arial" w:cs="Arial"/>
                <w:sz w:val="22"/>
                <w:szCs w:val="22"/>
              </w:rPr>
              <w:t>providing</w:t>
            </w:r>
            <w:r w:rsidR="00120BA1">
              <w:rPr>
                <w:rFonts w:ascii="Arial" w:eastAsia="MS Mincho" w:hAnsi="Arial" w:cs="Arial"/>
                <w:sz w:val="22"/>
                <w:szCs w:val="22"/>
              </w:rPr>
              <w:t xml:space="preserve"> analysis for additional ISLO’s will be used the next time the course is offered.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C13887" w:rsidRDefault="008B452B" w:rsidP="00C13887">
      <w:pPr>
        <w:jc w:val="center"/>
        <w:rPr>
          <w:b/>
        </w:rPr>
      </w:pP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B5" w:rsidRDefault="00360DB5">
      <w:r>
        <w:separator/>
      </w:r>
    </w:p>
  </w:endnote>
  <w:endnote w:type="continuationSeparator" w:id="0">
    <w:p w:rsidR="00360DB5" w:rsidRDefault="0036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2D" w:rsidRDefault="005B6AFE">
    <w:pPr>
      <w:pStyle w:val="Footer"/>
      <w:jc w:val="right"/>
    </w:pPr>
    <w:fldSimple w:instr=" DATE \@ &quot;M/d/yyyy h:mm am/pm&quot; ">
      <w:r w:rsidR="00DD6B17">
        <w:rPr>
          <w:noProof/>
        </w:rPr>
        <w:t>11/18/2011 2:17 PM</w:t>
      </w:r>
    </w:fldSimple>
    <w:r w:rsidR="008E7A2D">
      <w:t xml:space="preserve">              </w:t>
    </w:r>
    <w:fldSimple w:instr=" PAGE   \* MERGEFORMAT ">
      <w:r w:rsidR="00023C79">
        <w:rPr>
          <w:noProof/>
        </w:rPr>
        <w:t>2</w:t>
      </w:r>
    </w:fldSimple>
  </w:p>
  <w:p w:rsidR="008E7A2D" w:rsidRDefault="008E7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B5" w:rsidRDefault="00360DB5">
      <w:r>
        <w:separator/>
      </w:r>
    </w:p>
  </w:footnote>
  <w:footnote w:type="continuationSeparator" w:id="0">
    <w:p w:rsidR="00360DB5" w:rsidRDefault="0036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6B1D"/>
    <w:rsid w:val="00023C79"/>
    <w:rsid w:val="0007701E"/>
    <w:rsid w:val="0008051A"/>
    <w:rsid w:val="000A5126"/>
    <w:rsid w:val="000E0623"/>
    <w:rsid w:val="00113B5D"/>
    <w:rsid w:val="00120BA1"/>
    <w:rsid w:val="0019372F"/>
    <w:rsid w:val="001A2666"/>
    <w:rsid w:val="001C4712"/>
    <w:rsid w:val="001F744A"/>
    <w:rsid w:val="0027548F"/>
    <w:rsid w:val="002902FB"/>
    <w:rsid w:val="002B3F54"/>
    <w:rsid w:val="0030336D"/>
    <w:rsid w:val="00307E40"/>
    <w:rsid w:val="0031694C"/>
    <w:rsid w:val="003567A5"/>
    <w:rsid w:val="00360DB5"/>
    <w:rsid w:val="00364F65"/>
    <w:rsid w:val="00393640"/>
    <w:rsid w:val="003F4674"/>
    <w:rsid w:val="00430ABC"/>
    <w:rsid w:val="004466E1"/>
    <w:rsid w:val="00454970"/>
    <w:rsid w:val="004F0B38"/>
    <w:rsid w:val="00501FDC"/>
    <w:rsid w:val="00547520"/>
    <w:rsid w:val="005666EB"/>
    <w:rsid w:val="0057506D"/>
    <w:rsid w:val="005B6AFE"/>
    <w:rsid w:val="005C1CA7"/>
    <w:rsid w:val="005E6D32"/>
    <w:rsid w:val="006431F6"/>
    <w:rsid w:val="006722CD"/>
    <w:rsid w:val="006A61F3"/>
    <w:rsid w:val="006A6446"/>
    <w:rsid w:val="006B57BE"/>
    <w:rsid w:val="006C4348"/>
    <w:rsid w:val="0076264F"/>
    <w:rsid w:val="007A55DA"/>
    <w:rsid w:val="007B4182"/>
    <w:rsid w:val="007B7145"/>
    <w:rsid w:val="00864C4F"/>
    <w:rsid w:val="00873B25"/>
    <w:rsid w:val="008954CE"/>
    <w:rsid w:val="008A3803"/>
    <w:rsid w:val="008B0292"/>
    <w:rsid w:val="008B21D4"/>
    <w:rsid w:val="008B452B"/>
    <w:rsid w:val="008B6009"/>
    <w:rsid w:val="008E7A2D"/>
    <w:rsid w:val="00957387"/>
    <w:rsid w:val="009E7261"/>
    <w:rsid w:val="009F77F5"/>
    <w:rsid w:val="00A41E91"/>
    <w:rsid w:val="00A6768A"/>
    <w:rsid w:val="00A80C30"/>
    <w:rsid w:val="00A82164"/>
    <w:rsid w:val="00AA6D9D"/>
    <w:rsid w:val="00AD0A0F"/>
    <w:rsid w:val="00AE701F"/>
    <w:rsid w:val="00AF694C"/>
    <w:rsid w:val="00B04A1B"/>
    <w:rsid w:val="00B3499A"/>
    <w:rsid w:val="00B6544F"/>
    <w:rsid w:val="00B925F5"/>
    <w:rsid w:val="00BA2633"/>
    <w:rsid w:val="00BF6376"/>
    <w:rsid w:val="00C13887"/>
    <w:rsid w:val="00C13B54"/>
    <w:rsid w:val="00C16CDD"/>
    <w:rsid w:val="00C53D9D"/>
    <w:rsid w:val="00C705AB"/>
    <w:rsid w:val="00CB00CF"/>
    <w:rsid w:val="00CD719A"/>
    <w:rsid w:val="00D20244"/>
    <w:rsid w:val="00D810DF"/>
    <w:rsid w:val="00D85A9C"/>
    <w:rsid w:val="00DC5642"/>
    <w:rsid w:val="00DD6B17"/>
    <w:rsid w:val="00E22AFE"/>
    <w:rsid w:val="00E65B4E"/>
    <w:rsid w:val="00EB0A81"/>
    <w:rsid w:val="00EB4B85"/>
    <w:rsid w:val="00ED0EE5"/>
    <w:rsid w:val="00EE2B30"/>
    <w:rsid w:val="00EF1CB7"/>
    <w:rsid w:val="00F06D1A"/>
    <w:rsid w:val="00F356D7"/>
    <w:rsid w:val="00F5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4156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19</cp:revision>
  <dcterms:created xsi:type="dcterms:W3CDTF">2011-11-18T19:40:00Z</dcterms:created>
  <dcterms:modified xsi:type="dcterms:W3CDTF">2011-11-18T23:10:00Z</dcterms:modified>
</cp:coreProperties>
</file>