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32" w:rsidRPr="003D03A3" w:rsidRDefault="00E75772" w:rsidP="00077A32">
      <w:pPr>
        <w:jc w:val="center"/>
      </w:pPr>
      <w:r w:rsidRPr="00E75772">
        <w:rPr>
          <w:rFonts w:ascii="Plump MT" w:hAnsi="Plump MT" w:cstheme="minorBidi"/>
          <w:noProof/>
        </w:rPr>
        <w:pict>
          <v:shapetype id="_x0000_t202" coordsize="21600,21600" o:spt="202" path="m,l,21600r21600,l21600,xe">
            <v:stroke joinstyle="miter"/>
            <v:path gradientshapeok="t" o:connecttype="rect"/>
          </v:shapetype>
          <v:shape id="_x0000_s1030" type="#_x0000_t202" style="position:absolute;left:0;text-align:left;margin-left:-54.2pt;margin-top:-24.15pt;width:129.95pt;height:93pt;z-index:251658240;mso-width-relative:margin;mso-height-relative:margin" stroked="f">
            <v:textbox style="mso-next-textbox:#_x0000_s1030">
              <w:txbxContent>
                <w:p w:rsidR="00077A32" w:rsidRDefault="00077A32" w:rsidP="00077A32">
                  <w:r w:rsidRPr="00AF4FFD">
                    <w:rPr>
                      <w:noProof/>
                    </w:rPr>
                    <w:drawing>
                      <wp:inline distT="0" distB="0" distL="0" distR="0">
                        <wp:extent cx="1219200" cy="1161084"/>
                        <wp:effectExtent l="19050" t="0" r="0" b="0"/>
                        <wp:docPr id="2" name="Picture 1" descr="C:\Documents and Settings\Patricia Robles\Local Settings\Temporary Internet Files\Content.Outlook\0ZG3KJ6J\Empower Sticker 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tricia Robles\Local Settings\Temporary Internet Files\Content.Outlook\0ZG3KJ6J\Empower Sticker CTE.jpg"/>
                                <pic:cNvPicPr>
                                  <a:picLocks noChangeAspect="1" noChangeArrowheads="1"/>
                                </pic:cNvPicPr>
                              </pic:nvPicPr>
                              <pic:blipFill>
                                <a:blip r:embed="rId6" cstate="print"/>
                                <a:srcRect/>
                                <a:stretch>
                                  <a:fillRect/>
                                </a:stretch>
                              </pic:blipFill>
                              <pic:spPr bwMode="auto">
                                <a:xfrm>
                                  <a:off x="0" y="0"/>
                                  <a:ext cx="1219728" cy="1161586"/>
                                </a:xfrm>
                                <a:prstGeom prst="rect">
                                  <a:avLst/>
                                </a:prstGeom>
                                <a:noFill/>
                                <a:ln w="9525">
                                  <a:noFill/>
                                  <a:miter lim="800000"/>
                                  <a:headEnd/>
                                  <a:tailEnd/>
                                </a:ln>
                              </pic:spPr>
                            </pic:pic>
                          </a:graphicData>
                        </a:graphic>
                      </wp:inline>
                    </w:drawing>
                  </w:r>
                  <w:r>
                    <w:rPr>
                      <w:noProof/>
                    </w:rPr>
                    <w:drawing>
                      <wp:inline distT="0" distB="0" distL="0" distR="0">
                        <wp:extent cx="1447800" cy="1026541"/>
                        <wp:effectExtent l="19050" t="0" r="0" b="0"/>
                        <wp:docPr id="1" name="Picture 1" descr="C:\Documents and Settings\Patricia Robles\My Documents\Advertising\IVC 50th Annivers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tricia Robles\My Documents\Advertising\IVC 50th Anniversary Logo.jpg"/>
                                <pic:cNvPicPr>
                                  <a:picLocks noChangeAspect="1" noChangeArrowheads="1"/>
                                </pic:cNvPicPr>
                              </pic:nvPicPr>
                              <pic:blipFill>
                                <a:blip r:embed="rId7"/>
                                <a:srcRect/>
                                <a:stretch>
                                  <a:fillRect/>
                                </a:stretch>
                              </pic:blipFill>
                              <pic:spPr bwMode="auto">
                                <a:xfrm>
                                  <a:off x="0" y="0"/>
                                  <a:ext cx="1449493" cy="1027741"/>
                                </a:xfrm>
                                <a:prstGeom prst="rect">
                                  <a:avLst/>
                                </a:prstGeom>
                                <a:noFill/>
                                <a:ln w="9525">
                                  <a:noFill/>
                                  <a:miter lim="800000"/>
                                  <a:headEnd/>
                                  <a:tailEnd/>
                                </a:ln>
                              </pic:spPr>
                            </pic:pic>
                          </a:graphicData>
                        </a:graphic>
                      </wp:inline>
                    </w:drawing>
                  </w:r>
                </w:p>
              </w:txbxContent>
            </v:textbox>
          </v:shape>
        </w:pict>
      </w:r>
      <w:r w:rsidR="00077A32" w:rsidRPr="003D03A3">
        <w:t>Imperial Valley College</w:t>
      </w:r>
    </w:p>
    <w:p w:rsidR="00077A32" w:rsidRDefault="00077A32" w:rsidP="00077A32">
      <w:pPr>
        <w:jc w:val="center"/>
        <w:rPr>
          <w:rFonts w:ascii="Plump MT" w:hAnsi="Plump MT"/>
        </w:rPr>
      </w:pPr>
      <w:r w:rsidRPr="008E6925">
        <w:rPr>
          <w:rFonts w:ascii="Plump MT" w:hAnsi="Plump MT"/>
        </w:rPr>
        <w:t>ECONOMIC AND WORKFORCE DEVELOPMENT</w:t>
      </w:r>
    </w:p>
    <w:p w:rsidR="00077A32" w:rsidRDefault="00077A32" w:rsidP="00077A32">
      <w:pPr>
        <w:jc w:val="center"/>
        <w:rPr>
          <w:rFonts w:ascii="Plump MT" w:hAnsi="Plump MT"/>
        </w:rPr>
      </w:pPr>
    </w:p>
    <w:p w:rsidR="00077A32" w:rsidRDefault="00077A32" w:rsidP="00077A32">
      <w:pPr>
        <w:jc w:val="center"/>
        <w:rPr>
          <w:rFonts w:ascii="Plump MT" w:hAnsi="Plump MT"/>
        </w:rPr>
      </w:pPr>
      <w:r>
        <w:rPr>
          <w:rFonts w:ascii="Plump MT" w:hAnsi="Plump MT"/>
        </w:rPr>
        <w:t>Perkins/CTEA Meeting</w:t>
      </w:r>
    </w:p>
    <w:p w:rsidR="00077A32" w:rsidRPr="003D03A3" w:rsidRDefault="00077A32" w:rsidP="00077A32">
      <w:pPr>
        <w:jc w:val="center"/>
      </w:pPr>
    </w:p>
    <w:p w:rsidR="00077A32" w:rsidRDefault="00077A32" w:rsidP="00077A32">
      <w:pPr>
        <w:jc w:val="center"/>
      </w:pPr>
      <w:r>
        <w:t>Friday, March 5</w:t>
      </w:r>
      <w:r w:rsidRPr="003D03A3">
        <w:t>, 2010</w:t>
      </w:r>
    </w:p>
    <w:p w:rsidR="00077A32" w:rsidRPr="003D03A3" w:rsidRDefault="00077A32" w:rsidP="00077A32">
      <w:pPr>
        <w:jc w:val="center"/>
      </w:pPr>
      <w:r>
        <w:t>11:00 AM</w:t>
      </w:r>
      <w:r w:rsidRPr="003D03A3">
        <w:t xml:space="preserve">, </w:t>
      </w:r>
      <w:r>
        <w:t>Board Room</w:t>
      </w:r>
    </w:p>
    <w:p w:rsidR="00077A32" w:rsidRDefault="00077A32" w:rsidP="00077A32">
      <w:pPr>
        <w:jc w:val="center"/>
        <w:rPr>
          <w:rFonts w:ascii="Jester" w:hAnsi="Jester"/>
        </w:rPr>
      </w:pPr>
    </w:p>
    <w:p w:rsidR="005E5340" w:rsidRPr="00914F2A" w:rsidRDefault="005E5340" w:rsidP="005E5340">
      <w:pPr>
        <w:jc w:val="cente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0"/>
        <w:gridCol w:w="2316"/>
      </w:tblGrid>
      <w:tr w:rsidR="006E3E7D" w:rsidRPr="00914F2A" w:rsidTr="00914F2A">
        <w:trPr>
          <w:trHeight w:val="187"/>
        </w:trPr>
        <w:tc>
          <w:tcPr>
            <w:tcW w:w="3620" w:type="dxa"/>
            <w:shd w:val="clear" w:color="auto" w:fill="D9D9D9"/>
            <w:hideMark/>
          </w:tcPr>
          <w:p w:rsidR="006E3E7D" w:rsidRPr="00914F2A" w:rsidRDefault="006E3E7D" w:rsidP="00C55F35">
            <w:pPr>
              <w:rPr>
                <w:b/>
                <w:sz w:val="20"/>
                <w:szCs w:val="20"/>
              </w:rPr>
            </w:pPr>
            <w:r w:rsidRPr="00914F2A">
              <w:rPr>
                <w:b/>
                <w:sz w:val="20"/>
                <w:szCs w:val="20"/>
              </w:rPr>
              <w:t>CTEA/Perkins Programs</w:t>
            </w:r>
          </w:p>
        </w:tc>
        <w:tc>
          <w:tcPr>
            <w:tcW w:w="2316" w:type="dxa"/>
            <w:shd w:val="clear" w:color="auto" w:fill="D9D9D9"/>
          </w:tcPr>
          <w:p w:rsidR="006E3E7D" w:rsidRPr="00914F2A" w:rsidRDefault="00F453A2" w:rsidP="00C55F35">
            <w:pPr>
              <w:rPr>
                <w:b/>
                <w:sz w:val="20"/>
                <w:szCs w:val="20"/>
              </w:rPr>
            </w:pPr>
            <w:r w:rsidRPr="00914F2A">
              <w:rPr>
                <w:b/>
                <w:sz w:val="20"/>
                <w:szCs w:val="20"/>
              </w:rPr>
              <w:t>Representatives Present</w:t>
            </w:r>
          </w:p>
        </w:tc>
      </w:tr>
      <w:tr w:rsidR="00C55F35" w:rsidRPr="00914F2A" w:rsidTr="00914F2A">
        <w:trPr>
          <w:trHeight w:val="187"/>
        </w:trPr>
        <w:tc>
          <w:tcPr>
            <w:tcW w:w="3620" w:type="dxa"/>
            <w:shd w:val="clear" w:color="auto" w:fill="D9D9D9"/>
            <w:hideMark/>
          </w:tcPr>
          <w:p w:rsidR="00C55F35" w:rsidRPr="00914F2A" w:rsidRDefault="00F453A2" w:rsidP="00C55F35">
            <w:pPr>
              <w:rPr>
                <w:sz w:val="20"/>
                <w:szCs w:val="20"/>
              </w:rPr>
            </w:pPr>
            <w:r w:rsidRPr="00914F2A">
              <w:rPr>
                <w:sz w:val="20"/>
                <w:szCs w:val="20"/>
              </w:rPr>
              <w:t>Economic and Workforce Development</w:t>
            </w:r>
          </w:p>
        </w:tc>
        <w:tc>
          <w:tcPr>
            <w:tcW w:w="2316" w:type="dxa"/>
            <w:shd w:val="clear" w:color="auto" w:fill="D9D9D9"/>
          </w:tcPr>
          <w:p w:rsidR="006E3E7D" w:rsidRPr="00914F2A" w:rsidRDefault="00C55F35" w:rsidP="00C55F35">
            <w:pPr>
              <w:rPr>
                <w:sz w:val="20"/>
                <w:szCs w:val="20"/>
              </w:rPr>
            </w:pPr>
            <w:r w:rsidRPr="00914F2A">
              <w:rPr>
                <w:sz w:val="20"/>
                <w:szCs w:val="20"/>
              </w:rPr>
              <w:t>Efrain Silva</w:t>
            </w:r>
          </w:p>
          <w:p w:rsidR="006E3E7D" w:rsidRPr="00914F2A" w:rsidRDefault="00C55F35" w:rsidP="006E3E7D">
            <w:pPr>
              <w:rPr>
                <w:sz w:val="20"/>
                <w:szCs w:val="20"/>
              </w:rPr>
            </w:pPr>
            <w:r w:rsidRPr="00914F2A">
              <w:rPr>
                <w:sz w:val="20"/>
                <w:szCs w:val="20"/>
              </w:rPr>
              <w:t>Patricia Robles</w:t>
            </w:r>
          </w:p>
          <w:p w:rsidR="00C55F35" w:rsidRPr="00914F2A" w:rsidRDefault="00C55F35" w:rsidP="006E3E7D">
            <w:pPr>
              <w:rPr>
                <w:sz w:val="20"/>
                <w:szCs w:val="20"/>
              </w:rPr>
            </w:pPr>
            <w:r w:rsidRPr="00914F2A">
              <w:rPr>
                <w:sz w:val="20"/>
                <w:szCs w:val="20"/>
              </w:rPr>
              <w:t>Joe Espinoza</w:t>
            </w:r>
          </w:p>
        </w:tc>
      </w:tr>
      <w:tr w:rsidR="00C55F35" w:rsidRPr="00914F2A" w:rsidTr="00914F2A">
        <w:trPr>
          <w:trHeight w:val="187"/>
        </w:trPr>
        <w:tc>
          <w:tcPr>
            <w:tcW w:w="3620" w:type="dxa"/>
            <w:shd w:val="clear" w:color="auto" w:fill="D9D9D9"/>
          </w:tcPr>
          <w:p w:rsidR="00C55F35" w:rsidRPr="00914F2A" w:rsidRDefault="006E3E7D" w:rsidP="006E3E7D">
            <w:pPr>
              <w:rPr>
                <w:sz w:val="20"/>
                <w:szCs w:val="20"/>
              </w:rPr>
            </w:pPr>
            <w:r w:rsidRPr="00914F2A">
              <w:rPr>
                <w:sz w:val="20"/>
                <w:szCs w:val="20"/>
              </w:rPr>
              <w:t>Computer Information Systems</w:t>
            </w:r>
          </w:p>
        </w:tc>
        <w:tc>
          <w:tcPr>
            <w:tcW w:w="2316" w:type="dxa"/>
            <w:shd w:val="clear" w:color="auto" w:fill="D9D9D9"/>
          </w:tcPr>
          <w:p w:rsidR="00C55F35" w:rsidRPr="00914F2A" w:rsidRDefault="00C55F35" w:rsidP="00C55F35">
            <w:pPr>
              <w:rPr>
                <w:sz w:val="20"/>
                <w:szCs w:val="20"/>
              </w:rPr>
            </w:pPr>
            <w:r w:rsidRPr="00914F2A">
              <w:rPr>
                <w:sz w:val="20"/>
                <w:szCs w:val="20"/>
              </w:rPr>
              <w:t>Valerie Rodgers</w:t>
            </w:r>
          </w:p>
        </w:tc>
      </w:tr>
      <w:tr w:rsidR="00C55F35" w:rsidRPr="00914F2A" w:rsidTr="00914F2A">
        <w:trPr>
          <w:trHeight w:val="187"/>
        </w:trPr>
        <w:tc>
          <w:tcPr>
            <w:tcW w:w="3620" w:type="dxa"/>
            <w:shd w:val="clear" w:color="auto" w:fill="D9D9D9"/>
          </w:tcPr>
          <w:p w:rsidR="00C55F35" w:rsidRPr="00914F2A" w:rsidRDefault="006E3E7D" w:rsidP="00C55F35">
            <w:pPr>
              <w:rPr>
                <w:sz w:val="20"/>
                <w:szCs w:val="20"/>
              </w:rPr>
            </w:pPr>
            <w:r w:rsidRPr="00914F2A">
              <w:rPr>
                <w:sz w:val="20"/>
                <w:szCs w:val="20"/>
              </w:rPr>
              <w:t>Child Development</w:t>
            </w:r>
          </w:p>
        </w:tc>
        <w:tc>
          <w:tcPr>
            <w:tcW w:w="2316" w:type="dxa"/>
            <w:shd w:val="clear" w:color="auto" w:fill="D9D9D9"/>
          </w:tcPr>
          <w:p w:rsidR="00C55F35" w:rsidRPr="00914F2A" w:rsidRDefault="00C55F35" w:rsidP="00C55F35">
            <w:pPr>
              <w:rPr>
                <w:sz w:val="20"/>
                <w:szCs w:val="20"/>
              </w:rPr>
            </w:pPr>
            <w:r w:rsidRPr="00914F2A">
              <w:rPr>
                <w:sz w:val="20"/>
                <w:szCs w:val="20"/>
              </w:rPr>
              <w:t>Becky Green</w:t>
            </w:r>
          </w:p>
        </w:tc>
      </w:tr>
      <w:tr w:rsidR="00C55F35" w:rsidRPr="00914F2A" w:rsidTr="00914F2A">
        <w:trPr>
          <w:trHeight w:val="187"/>
        </w:trPr>
        <w:tc>
          <w:tcPr>
            <w:tcW w:w="3620" w:type="dxa"/>
            <w:shd w:val="clear" w:color="auto" w:fill="D9D9D9"/>
          </w:tcPr>
          <w:p w:rsidR="00C55F35" w:rsidRPr="00914F2A" w:rsidRDefault="006E3E7D" w:rsidP="00C55F35">
            <w:pPr>
              <w:rPr>
                <w:sz w:val="20"/>
                <w:szCs w:val="20"/>
              </w:rPr>
            </w:pPr>
            <w:r w:rsidRPr="00914F2A">
              <w:rPr>
                <w:sz w:val="20"/>
                <w:szCs w:val="20"/>
              </w:rPr>
              <w:t>Automotive Technology</w:t>
            </w:r>
          </w:p>
          <w:p w:rsidR="006E3E7D" w:rsidRPr="00914F2A" w:rsidRDefault="006E3E7D" w:rsidP="00C55F35">
            <w:pPr>
              <w:rPr>
                <w:sz w:val="20"/>
                <w:szCs w:val="20"/>
              </w:rPr>
            </w:pPr>
            <w:r w:rsidRPr="00914F2A">
              <w:rPr>
                <w:sz w:val="20"/>
                <w:szCs w:val="20"/>
              </w:rPr>
              <w:t>Automotive Collision Repair</w:t>
            </w:r>
          </w:p>
        </w:tc>
        <w:tc>
          <w:tcPr>
            <w:tcW w:w="2316" w:type="dxa"/>
            <w:shd w:val="clear" w:color="auto" w:fill="D9D9D9"/>
          </w:tcPr>
          <w:p w:rsidR="00C55F35" w:rsidRPr="00914F2A" w:rsidRDefault="00C55F35" w:rsidP="00C55F35">
            <w:pPr>
              <w:rPr>
                <w:sz w:val="20"/>
                <w:szCs w:val="20"/>
              </w:rPr>
            </w:pPr>
            <w:r w:rsidRPr="00914F2A">
              <w:rPr>
                <w:sz w:val="20"/>
                <w:szCs w:val="20"/>
              </w:rPr>
              <w:t>Jose Lopez</w:t>
            </w:r>
          </w:p>
        </w:tc>
      </w:tr>
      <w:tr w:rsidR="006E3E7D" w:rsidRPr="00914F2A" w:rsidTr="00914F2A">
        <w:trPr>
          <w:trHeight w:val="187"/>
        </w:trPr>
        <w:tc>
          <w:tcPr>
            <w:tcW w:w="3620" w:type="dxa"/>
            <w:shd w:val="clear" w:color="auto" w:fill="D9D9D9"/>
          </w:tcPr>
          <w:p w:rsidR="006E3E7D" w:rsidRPr="00914F2A" w:rsidRDefault="006E3E7D" w:rsidP="00C55F35">
            <w:pPr>
              <w:rPr>
                <w:sz w:val="20"/>
                <w:szCs w:val="20"/>
              </w:rPr>
            </w:pPr>
            <w:r w:rsidRPr="00914F2A">
              <w:rPr>
                <w:sz w:val="20"/>
                <w:szCs w:val="20"/>
              </w:rPr>
              <w:t>Air-Conditioning &amp; Refrigeration</w:t>
            </w:r>
          </w:p>
        </w:tc>
        <w:tc>
          <w:tcPr>
            <w:tcW w:w="2316" w:type="dxa"/>
            <w:shd w:val="clear" w:color="auto" w:fill="D9D9D9"/>
          </w:tcPr>
          <w:p w:rsidR="006E3E7D" w:rsidRPr="00914F2A" w:rsidRDefault="002179B3" w:rsidP="00C55F35">
            <w:pPr>
              <w:rPr>
                <w:sz w:val="20"/>
                <w:szCs w:val="20"/>
              </w:rPr>
            </w:pPr>
            <w:r w:rsidRPr="00914F2A">
              <w:rPr>
                <w:sz w:val="20"/>
                <w:szCs w:val="20"/>
              </w:rPr>
              <w:t>Frank Miranda</w:t>
            </w:r>
          </w:p>
        </w:tc>
      </w:tr>
      <w:tr w:rsidR="006E3E7D" w:rsidRPr="00914F2A" w:rsidTr="00914F2A">
        <w:trPr>
          <w:trHeight w:val="187"/>
        </w:trPr>
        <w:tc>
          <w:tcPr>
            <w:tcW w:w="3620" w:type="dxa"/>
            <w:shd w:val="clear" w:color="auto" w:fill="D9D9D9"/>
          </w:tcPr>
          <w:p w:rsidR="006E3E7D" w:rsidRPr="00914F2A" w:rsidRDefault="006E3E7D" w:rsidP="00C55F35">
            <w:pPr>
              <w:rPr>
                <w:sz w:val="20"/>
                <w:szCs w:val="20"/>
              </w:rPr>
            </w:pPr>
            <w:r w:rsidRPr="00914F2A">
              <w:rPr>
                <w:sz w:val="20"/>
                <w:szCs w:val="20"/>
              </w:rPr>
              <w:t>Building Construction</w:t>
            </w:r>
          </w:p>
        </w:tc>
        <w:tc>
          <w:tcPr>
            <w:tcW w:w="2316" w:type="dxa"/>
            <w:shd w:val="clear" w:color="auto" w:fill="D9D9D9"/>
          </w:tcPr>
          <w:p w:rsidR="006E3E7D" w:rsidRPr="00914F2A" w:rsidRDefault="006E3E7D" w:rsidP="00C55F35">
            <w:pPr>
              <w:rPr>
                <w:sz w:val="20"/>
                <w:szCs w:val="20"/>
              </w:rPr>
            </w:pPr>
            <w:r w:rsidRPr="00914F2A">
              <w:rPr>
                <w:sz w:val="20"/>
                <w:szCs w:val="20"/>
              </w:rPr>
              <w:t>N/R</w:t>
            </w:r>
          </w:p>
        </w:tc>
      </w:tr>
      <w:tr w:rsidR="006E3E7D" w:rsidRPr="00914F2A" w:rsidTr="00914F2A">
        <w:trPr>
          <w:trHeight w:val="187"/>
        </w:trPr>
        <w:tc>
          <w:tcPr>
            <w:tcW w:w="3620" w:type="dxa"/>
            <w:shd w:val="clear" w:color="auto" w:fill="D9D9D9"/>
          </w:tcPr>
          <w:p w:rsidR="006E3E7D" w:rsidRPr="00914F2A" w:rsidRDefault="006E3E7D" w:rsidP="00C55F35">
            <w:pPr>
              <w:rPr>
                <w:sz w:val="20"/>
                <w:szCs w:val="20"/>
              </w:rPr>
            </w:pPr>
            <w:r w:rsidRPr="00914F2A">
              <w:rPr>
                <w:sz w:val="20"/>
                <w:szCs w:val="20"/>
              </w:rPr>
              <w:t>Welding Technology</w:t>
            </w:r>
          </w:p>
        </w:tc>
        <w:tc>
          <w:tcPr>
            <w:tcW w:w="2316" w:type="dxa"/>
            <w:shd w:val="clear" w:color="auto" w:fill="D9D9D9"/>
          </w:tcPr>
          <w:p w:rsidR="006E3E7D" w:rsidRPr="00914F2A" w:rsidRDefault="006E3E7D" w:rsidP="00C55F35">
            <w:pPr>
              <w:rPr>
                <w:sz w:val="20"/>
                <w:szCs w:val="20"/>
              </w:rPr>
            </w:pPr>
            <w:r w:rsidRPr="00914F2A">
              <w:rPr>
                <w:sz w:val="20"/>
                <w:szCs w:val="20"/>
              </w:rPr>
              <w:t>N/R</w:t>
            </w:r>
          </w:p>
        </w:tc>
      </w:tr>
      <w:tr w:rsidR="00C55F35" w:rsidRPr="00914F2A" w:rsidTr="00914F2A">
        <w:trPr>
          <w:trHeight w:val="187"/>
        </w:trPr>
        <w:tc>
          <w:tcPr>
            <w:tcW w:w="3620" w:type="dxa"/>
            <w:shd w:val="clear" w:color="auto" w:fill="D9D9D9"/>
          </w:tcPr>
          <w:p w:rsidR="00C55F35" w:rsidRPr="00914F2A" w:rsidRDefault="006E3E7D" w:rsidP="00C55F35">
            <w:pPr>
              <w:rPr>
                <w:sz w:val="20"/>
                <w:szCs w:val="20"/>
              </w:rPr>
            </w:pPr>
            <w:r w:rsidRPr="00914F2A">
              <w:rPr>
                <w:sz w:val="20"/>
                <w:szCs w:val="20"/>
              </w:rPr>
              <w:t>Fire Science</w:t>
            </w:r>
          </w:p>
        </w:tc>
        <w:tc>
          <w:tcPr>
            <w:tcW w:w="2316" w:type="dxa"/>
            <w:shd w:val="clear" w:color="auto" w:fill="D9D9D9"/>
          </w:tcPr>
          <w:p w:rsidR="00C55F35" w:rsidRPr="00914F2A" w:rsidRDefault="00C55F35" w:rsidP="00C55F35">
            <w:pPr>
              <w:rPr>
                <w:sz w:val="20"/>
                <w:szCs w:val="20"/>
              </w:rPr>
            </w:pPr>
            <w:r w:rsidRPr="00914F2A">
              <w:rPr>
                <w:sz w:val="20"/>
                <w:szCs w:val="20"/>
              </w:rPr>
              <w:t>N/R</w:t>
            </w:r>
          </w:p>
        </w:tc>
      </w:tr>
      <w:tr w:rsidR="00C55F35" w:rsidRPr="00914F2A" w:rsidTr="00914F2A">
        <w:trPr>
          <w:trHeight w:val="187"/>
        </w:trPr>
        <w:tc>
          <w:tcPr>
            <w:tcW w:w="3620" w:type="dxa"/>
            <w:shd w:val="clear" w:color="auto" w:fill="D9D9D9"/>
          </w:tcPr>
          <w:p w:rsidR="006E3E7D" w:rsidRPr="00914F2A" w:rsidRDefault="00C55F35" w:rsidP="006E3E7D">
            <w:pPr>
              <w:rPr>
                <w:sz w:val="20"/>
                <w:szCs w:val="20"/>
              </w:rPr>
            </w:pPr>
            <w:r w:rsidRPr="00914F2A">
              <w:rPr>
                <w:sz w:val="20"/>
                <w:szCs w:val="20"/>
              </w:rPr>
              <w:t>Admin</w:t>
            </w:r>
            <w:r w:rsidR="006E3E7D" w:rsidRPr="00914F2A">
              <w:rPr>
                <w:sz w:val="20"/>
                <w:szCs w:val="20"/>
              </w:rPr>
              <w:t>istration</w:t>
            </w:r>
            <w:r w:rsidRPr="00914F2A">
              <w:rPr>
                <w:sz w:val="20"/>
                <w:szCs w:val="20"/>
              </w:rPr>
              <w:t xml:space="preserve"> of Justice</w:t>
            </w:r>
          </w:p>
          <w:p w:rsidR="006E3E7D" w:rsidRPr="00914F2A" w:rsidRDefault="006E3E7D" w:rsidP="006E3E7D">
            <w:pPr>
              <w:rPr>
                <w:sz w:val="20"/>
                <w:szCs w:val="20"/>
              </w:rPr>
            </w:pPr>
            <w:r w:rsidRPr="00914F2A">
              <w:rPr>
                <w:sz w:val="20"/>
                <w:szCs w:val="20"/>
              </w:rPr>
              <w:t>Correctional Science</w:t>
            </w:r>
          </w:p>
          <w:p w:rsidR="00C55F35" w:rsidRPr="00914F2A" w:rsidRDefault="00C55F35" w:rsidP="006E3E7D">
            <w:pPr>
              <w:rPr>
                <w:sz w:val="20"/>
                <w:szCs w:val="20"/>
              </w:rPr>
            </w:pPr>
            <w:r w:rsidRPr="00914F2A">
              <w:rPr>
                <w:sz w:val="20"/>
                <w:szCs w:val="20"/>
              </w:rPr>
              <w:t>P</w:t>
            </w:r>
            <w:r w:rsidR="006E3E7D" w:rsidRPr="00914F2A">
              <w:rPr>
                <w:sz w:val="20"/>
                <w:szCs w:val="20"/>
              </w:rPr>
              <w:t>eace Officer Standards Training (POST)</w:t>
            </w:r>
          </w:p>
        </w:tc>
        <w:tc>
          <w:tcPr>
            <w:tcW w:w="2316" w:type="dxa"/>
            <w:shd w:val="clear" w:color="auto" w:fill="D9D9D9"/>
          </w:tcPr>
          <w:p w:rsidR="00C55F35" w:rsidRPr="00914F2A" w:rsidRDefault="00FF3FC8" w:rsidP="00C55F35">
            <w:pPr>
              <w:rPr>
                <w:sz w:val="20"/>
                <w:szCs w:val="20"/>
              </w:rPr>
            </w:pPr>
            <w:r w:rsidRPr="00914F2A">
              <w:rPr>
                <w:sz w:val="20"/>
                <w:szCs w:val="20"/>
              </w:rPr>
              <w:t>Ed Wells</w:t>
            </w:r>
          </w:p>
          <w:p w:rsidR="008F1E7C" w:rsidRPr="00914F2A" w:rsidRDefault="008F1E7C" w:rsidP="00C55F35">
            <w:pPr>
              <w:rPr>
                <w:sz w:val="20"/>
                <w:szCs w:val="20"/>
              </w:rPr>
            </w:pPr>
            <w:r w:rsidRPr="00914F2A">
              <w:rPr>
                <w:sz w:val="20"/>
                <w:szCs w:val="20"/>
              </w:rPr>
              <w:t>Rhonda Ruiz</w:t>
            </w:r>
          </w:p>
        </w:tc>
      </w:tr>
      <w:tr w:rsidR="00C55F35" w:rsidRPr="00914F2A" w:rsidTr="00914F2A">
        <w:trPr>
          <w:trHeight w:val="187"/>
        </w:trPr>
        <w:tc>
          <w:tcPr>
            <w:tcW w:w="3620" w:type="dxa"/>
            <w:shd w:val="clear" w:color="auto" w:fill="D9D9D9"/>
          </w:tcPr>
          <w:p w:rsidR="00C55F35" w:rsidRPr="00914F2A" w:rsidRDefault="00C55F35" w:rsidP="006E3E7D">
            <w:pPr>
              <w:rPr>
                <w:sz w:val="20"/>
                <w:szCs w:val="20"/>
              </w:rPr>
            </w:pPr>
            <w:r w:rsidRPr="00914F2A">
              <w:rPr>
                <w:sz w:val="20"/>
                <w:szCs w:val="20"/>
              </w:rPr>
              <w:t>Agriculture</w:t>
            </w:r>
          </w:p>
        </w:tc>
        <w:tc>
          <w:tcPr>
            <w:tcW w:w="2316" w:type="dxa"/>
            <w:shd w:val="clear" w:color="auto" w:fill="D9D9D9"/>
          </w:tcPr>
          <w:p w:rsidR="00C55F35" w:rsidRPr="00914F2A" w:rsidRDefault="00C55F35" w:rsidP="00C55F35">
            <w:pPr>
              <w:rPr>
                <w:sz w:val="20"/>
                <w:szCs w:val="20"/>
              </w:rPr>
            </w:pPr>
            <w:r w:rsidRPr="00914F2A">
              <w:rPr>
                <w:sz w:val="20"/>
                <w:szCs w:val="20"/>
              </w:rPr>
              <w:t>Patrick Pauley</w:t>
            </w:r>
          </w:p>
          <w:p w:rsidR="00FF3FC8" w:rsidRPr="00914F2A" w:rsidRDefault="00FF3FC8" w:rsidP="00C55F35">
            <w:pPr>
              <w:rPr>
                <w:sz w:val="20"/>
                <w:szCs w:val="20"/>
              </w:rPr>
            </w:pPr>
            <w:r w:rsidRPr="00914F2A">
              <w:rPr>
                <w:sz w:val="20"/>
                <w:szCs w:val="20"/>
              </w:rPr>
              <w:t>Lianna Zhao</w:t>
            </w:r>
          </w:p>
        </w:tc>
      </w:tr>
      <w:tr w:rsidR="00C55F35" w:rsidRPr="00914F2A" w:rsidTr="00914F2A">
        <w:trPr>
          <w:trHeight w:val="187"/>
        </w:trPr>
        <w:tc>
          <w:tcPr>
            <w:tcW w:w="3620" w:type="dxa"/>
            <w:shd w:val="clear" w:color="auto" w:fill="D9D9D9"/>
          </w:tcPr>
          <w:p w:rsidR="00C55F35" w:rsidRPr="00914F2A" w:rsidRDefault="00C55F35" w:rsidP="00FF3FC8">
            <w:pPr>
              <w:rPr>
                <w:sz w:val="20"/>
                <w:szCs w:val="20"/>
              </w:rPr>
            </w:pPr>
            <w:r w:rsidRPr="00914F2A">
              <w:rPr>
                <w:sz w:val="20"/>
                <w:szCs w:val="20"/>
              </w:rPr>
              <w:t>Other</w:t>
            </w:r>
            <w:r w:rsidR="006E3E7D" w:rsidRPr="00914F2A">
              <w:rPr>
                <w:sz w:val="20"/>
                <w:szCs w:val="20"/>
              </w:rPr>
              <w:t xml:space="preserve">: </w:t>
            </w:r>
          </w:p>
        </w:tc>
        <w:tc>
          <w:tcPr>
            <w:tcW w:w="2316" w:type="dxa"/>
            <w:shd w:val="clear" w:color="auto" w:fill="D9D9D9"/>
          </w:tcPr>
          <w:p w:rsidR="008F1E7C" w:rsidRPr="00914F2A" w:rsidRDefault="008F1E7C" w:rsidP="008F1E7C">
            <w:pPr>
              <w:rPr>
                <w:sz w:val="20"/>
                <w:szCs w:val="20"/>
              </w:rPr>
            </w:pPr>
            <w:r w:rsidRPr="00914F2A">
              <w:rPr>
                <w:sz w:val="20"/>
                <w:szCs w:val="20"/>
              </w:rPr>
              <w:t>Gonzalo Huerta</w:t>
            </w:r>
          </w:p>
          <w:p w:rsidR="00C55F35" w:rsidRPr="00914F2A" w:rsidRDefault="00C55F35" w:rsidP="008F1E7C">
            <w:pPr>
              <w:rPr>
                <w:sz w:val="20"/>
                <w:szCs w:val="20"/>
              </w:rPr>
            </w:pPr>
            <w:r w:rsidRPr="00914F2A">
              <w:rPr>
                <w:sz w:val="20"/>
                <w:szCs w:val="20"/>
              </w:rPr>
              <w:t>Norma Santana</w:t>
            </w:r>
          </w:p>
        </w:tc>
      </w:tr>
    </w:tbl>
    <w:p w:rsidR="005E5340" w:rsidRPr="00914F2A" w:rsidRDefault="005E5340" w:rsidP="005E5340">
      <w:pPr>
        <w:jc w:val="center"/>
      </w:pPr>
    </w:p>
    <w:p w:rsidR="005E5340" w:rsidRPr="00914F2A" w:rsidRDefault="006B644D" w:rsidP="005E5340">
      <w:pPr>
        <w:jc w:val="center"/>
        <w:rPr>
          <w:b/>
        </w:rPr>
      </w:pPr>
      <w:r>
        <w:rPr>
          <w:b/>
        </w:rPr>
        <w:t xml:space="preserve">Approved </w:t>
      </w:r>
      <w:r w:rsidR="00BE2760" w:rsidRPr="00914F2A">
        <w:rPr>
          <w:b/>
        </w:rPr>
        <w:t>Minutes</w:t>
      </w:r>
    </w:p>
    <w:p w:rsidR="005E5340" w:rsidRPr="00914F2A" w:rsidRDefault="005E5340" w:rsidP="005E5340">
      <w:pPr>
        <w:jc w:val="center"/>
      </w:pPr>
    </w:p>
    <w:p w:rsidR="005E5340" w:rsidRPr="00914F2A" w:rsidRDefault="005E5340" w:rsidP="00307A99">
      <w:pPr>
        <w:numPr>
          <w:ilvl w:val="0"/>
          <w:numId w:val="1"/>
        </w:numPr>
        <w:tabs>
          <w:tab w:val="clear" w:pos="1080"/>
          <w:tab w:val="num" w:pos="720"/>
          <w:tab w:val="left" w:pos="1260"/>
        </w:tabs>
        <w:ind w:left="720" w:firstLine="0"/>
        <w:contextualSpacing/>
        <w:rPr>
          <w:b/>
        </w:rPr>
      </w:pPr>
      <w:r w:rsidRPr="00914F2A">
        <w:rPr>
          <w:b/>
        </w:rPr>
        <w:t>Call to Order</w:t>
      </w:r>
    </w:p>
    <w:p w:rsidR="00C55F35" w:rsidRPr="00914F2A" w:rsidRDefault="0068402E" w:rsidP="00307A99">
      <w:pPr>
        <w:tabs>
          <w:tab w:val="left" w:pos="1260"/>
        </w:tabs>
        <w:ind w:left="1260"/>
        <w:contextualSpacing/>
      </w:pPr>
      <w:r w:rsidRPr="00914F2A">
        <w:t>The meeting was called to order by Efrain Silva at 1</w:t>
      </w:r>
      <w:r w:rsidR="008F1E7C" w:rsidRPr="00914F2A">
        <w:t>1</w:t>
      </w:r>
      <w:r w:rsidRPr="00914F2A">
        <w:t>:</w:t>
      </w:r>
      <w:r w:rsidR="008F1E7C" w:rsidRPr="00914F2A">
        <w:t>0</w:t>
      </w:r>
      <w:r w:rsidRPr="00914F2A">
        <w:t>5 am.</w:t>
      </w:r>
    </w:p>
    <w:p w:rsidR="00307A99" w:rsidRPr="00914F2A" w:rsidRDefault="00307A99" w:rsidP="00307A99">
      <w:pPr>
        <w:tabs>
          <w:tab w:val="left" w:pos="1260"/>
        </w:tabs>
        <w:ind w:left="1260"/>
        <w:contextualSpacing/>
      </w:pPr>
    </w:p>
    <w:p w:rsidR="005E5340" w:rsidRPr="00914F2A" w:rsidRDefault="008F1E7C" w:rsidP="00307A99">
      <w:pPr>
        <w:numPr>
          <w:ilvl w:val="0"/>
          <w:numId w:val="1"/>
        </w:numPr>
        <w:tabs>
          <w:tab w:val="clear" w:pos="1080"/>
          <w:tab w:val="num" w:pos="720"/>
          <w:tab w:val="left" w:pos="1260"/>
        </w:tabs>
        <w:ind w:left="720" w:firstLine="0"/>
        <w:contextualSpacing/>
        <w:rPr>
          <w:b/>
        </w:rPr>
      </w:pPr>
      <w:r w:rsidRPr="00914F2A">
        <w:rPr>
          <w:b/>
        </w:rPr>
        <w:t>Approval of Minutes</w:t>
      </w:r>
    </w:p>
    <w:p w:rsidR="00C55F35" w:rsidRPr="00914F2A" w:rsidRDefault="008F1E7C" w:rsidP="00307A99">
      <w:pPr>
        <w:tabs>
          <w:tab w:val="left" w:pos="1260"/>
        </w:tabs>
        <w:ind w:left="1260"/>
        <w:contextualSpacing/>
      </w:pPr>
      <w:r w:rsidRPr="00914F2A">
        <w:t>M/S/C Val Rodgers/Lianna Zhao to approve minutes</w:t>
      </w:r>
      <w:r w:rsidR="00933947" w:rsidRPr="00914F2A">
        <w:t xml:space="preserve"> of September 15, 2009</w:t>
      </w:r>
      <w:r w:rsidRPr="00914F2A">
        <w:t>.</w:t>
      </w:r>
    </w:p>
    <w:p w:rsidR="00307A99" w:rsidRPr="00914F2A" w:rsidRDefault="00307A99" w:rsidP="00307A99">
      <w:pPr>
        <w:tabs>
          <w:tab w:val="left" w:pos="1260"/>
        </w:tabs>
        <w:ind w:left="1260"/>
        <w:contextualSpacing/>
      </w:pPr>
    </w:p>
    <w:p w:rsidR="00CF3153" w:rsidRPr="00914F2A" w:rsidRDefault="00B3088E" w:rsidP="00307A99">
      <w:pPr>
        <w:numPr>
          <w:ilvl w:val="0"/>
          <w:numId w:val="1"/>
        </w:numPr>
        <w:tabs>
          <w:tab w:val="clear" w:pos="1080"/>
          <w:tab w:val="num" w:pos="720"/>
          <w:tab w:val="left" w:pos="1260"/>
        </w:tabs>
        <w:ind w:left="720" w:firstLine="0"/>
        <w:contextualSpacing/>
        <w:rPr>
          <w:b/>
        </w:rPr>
      </w:pPr>
      <w:r w:rsidRPr="00914F2A">
        <w:rPr>
          <w:b/>
        </w:rPr>
        <w:t xml:space="preserve">California Ed Code § 78016 Vocational </w:t>
      </w:r>
      <w:r w:rsidR="00CF3153" w:rsidRPr="00914F2A">
        <w:rPr>
          <w:b/>
        </w:rPr>
        <w:t>Program Review</w:t>
      </w:r>
    </w:p>
    <w:p w:rsidR="00C55F35" w:rsidRPr="00914F2A" w:rsidRDefault="006B5E7F" w:rsidP="00342CE0">
      <w:pPr>
        <w:tabs>
          <w:tab w:val="left" w:pos="1260"/>
        </w:tabs>
        <w:ind w:left="1260"/>
        <w:contextualSpacing/>
      </w:pPr>
      <w:r w:rsidRPr="00914F2A">
        <w:t>Efrain Silva reminded everyone that the vocational program review is due ever 2 years. He suggested that everyone include LMI and other pertinent data. A list of programs that have submitted their program reviews will be sent to the Board.</w:t>
      </w:r>
    </w:p>
    <w:p w:rsidR="00342CE0" w:rsidRPr="00914F2A" w:rsidRDefault="00342CE0" w:rsidP="00307A99">
      <w:pPr>
        <w:tabs>
          <w:tab w:val="left" w:pos="1260"/>
        </w:tabs>
        <w:ind w:left="720"/>
        <w:contextualSpacing/>
      </w:pPr>
    </w:p>
    <w:p w:rsidR="005E5340" w:rsidRPr="00914F2A" w:rsidRDefault="005E5340" w:rsidP="00307A99">
      <w:pPr>
        <w:numPr>
          <w:ilvl w:val="0"/>
          <w:numId w:val="1"/>
        </w:numPr>
        <w:tabs>
          <w:tab w:val="clear" w:pos="1080"/>
          <w:tab w:val="num" w:pos="720"/>
          <w:tab w:val="left" w:pos="1260"/>
        </w:tabs>
        <w:ind w:left="720" w:firstLine="0"/>
        <w:contextualSpacing/>
        <w:rPr>
          <w:b/>
        </w:rPr>
      </w:pPr>
      <w:r w:rsidRPr="00914F2A">
        <w:rPr>
          <w:b/>
        </w:rPr>
        <w:t xml:space="preserve">CTEA </w:t>
      </w:r>
      <w:r w:rsidR="009E06F9" w:rsidRPr="00914F2A">
        <w:rPr>
          <w:b/>
        </w:rPr>
        <w:t>Title IC Perkins IV 2009-2010</w:t>
      </w:r>
    </w:p>
    <w:p w:rsidR="00E904CB" w:rsidRPr="00914F2A" w:rsidRDefault="006B5E7F" w:rsidP="00E904CB">
      <w:pPr>
        <w:tabs>
          <w:tab w:val="left" w:pos="1260"/>
        </w:tabs>
        <w:ind w:left="1260"/>
        <w:contextualSpacing/>
      </w:pPr>
      <w:r w:rsidRPr="00914F2A">
        <w:t>Efrain Silva explained that we are in the 3</w:t>
      </w:r>
      <w:r w:rsidRPr="00914F2A">
        <w:rPr>
          <w:vertAlign w:val="superscript"/>
        </w:rPr>
        <w:t>rd</w:t>
      </w:r>
      <w:r w:rsidRPr="00914F2A">
        <w:t xml:space="preserve"> Quarter and activities must be completed as soon as possible. Becky Green explained that her activities are in progress; one activity being the website</w:t>
      </w:r>
      <w:r w:rsidR="00E904CB" w:rsidRPr="00914F2A">
        <w:t>.</w:t>
      </w:r>
      <w:r w:rsidRPr="00914F2A">
        <w:t xml:space="preserve"> Val Rogers said that she will be requesting an order for equipment once the software issue is taken care of. </w:t>
      </w:r>
      <w:r w:rsidR="009356B0" w:rsidRPr="00914F2A">
        <w:t xml:space="preserve">Patrick </w:t>
      </w:r>
      <w:r w:rsidR="007E48FD" w:rsidRPr="00914F2A">
        <w:t>Pauley requested more equipment funds.</w:t>
      </w:r>
    </w:p>
    <w:p w:rsidR="00E904CB" w:rsidRPr="00914F2A" w:rsidRDefault="00E904CB" w:rsidP="00E904CB">
      <w:pPr>
        <w:tabs>
          <w:tab w:val="left" w:pos="1260"/>
        </w:tabs>
        <w:ind w:left="1260"/>
        <w:contextualSpacing/>
      </w:pPr>
    </w:p>
    <w:p w:rsidR="005E5340" w:rsidRPr="00914F2A" w:rsidRDefault="006B5E7F" w:rsidP="00307A99">
      <w:pPr>
        <w:numPr>
          <w:ilvl w:val="0"/>
          <w:numId w:val="1"/>
        </w:numPr>
        <w:tabs>
          <w:tab w:val="clear" w:pos="1080"/>
          <w:tab w:val="num" w:pos="720"/>
          <w:tab w:val="left" w:pos="1260"/>
        </w:tabs>
        <w:ind w:left="720" w:firstLine="0"/>
        <w:contextualSpacing/>
        <w:rPr>
          <w:b/>
        </w:rPr>
      </w:pPr>
      <w:r w:rsidRPr="00914F2A">
        <w:rPr>
          <w:b/>
        </w:rPr>
        <w:t>Externships</w:t>
      </w:r>
    </w:p>
    <w:p w:rsidR="00C55F35" w:rsidRPr="00914F2A" w:rsidRDefault="006B5E7F" w:rsidP="00E904CB">
      <w:pPr>
        <w:tabs>
          <w:tab w:val="left" w:pos="1260"/>
        </w:tabs>
        <w:ind w:left="1260"/>
        <w:contextualSpacing/>
      </w:pPr>
      <w:r w:rsidRPr="00914F2A">
        <w:t xml:space="preserve">Efrain Silva reported that there are SB70 funds available for externships. These are available to full time employees or adjunct faculty. If interested, please contact the Economic and Workforce Development office. </w:t>
      </w:r>
    </w:p>
    <w:p w:rsidR="00E904CB" w:rsidRPr="00914F2A" w:rsidRDefault="00E904CB" w:rsidP="00307A99">
      <w:pPr>
        <w:tabs>
          <w:tab w:val="left" w:pos="1260"/>
        </w:tabs>
        <w:ind w:left="720"/>
        <w:contextualSpacing/>
      </w:pPr>
    </w:p>
    <w:p w:rsidR="006B5E7F" w:rsidRPr="00914F2A" w:rsidRDefault="006B5E7F" w:rsidP="00307A99">
      <w:pPr>
        <w:numPr>
          <w:ilvl w:val="0"/>
          <w:numId w:val="1"/>
        </w:numPr>
        <w:tabs>
          <w:tab w:val="clear" w:pos="1080"/>
          <w:tab w:val="num" w:pos="720"/>
          <w:tab w:val="left" w:pos="1260"/>
        </w:tabs>
        <w:ind w:left="720" w:firstLine="0"/>
        <w:contextualSpacing/>
        <w:rPr>
          <w:b/>
        </w:rPr>
      </w:pPr>
      <w:r w:rsidRPr="00914F2A">
        <w:rPr>
          <w:b/>
        </w:rPr>
        <w:t>Core Indicators and Performance Target Levels</w:t>
      </w:r>
    </w:p>
    <w:p w:rsidR="00E74B2A" w:rsidRPr="00914F2A" w:rsidRDefault="00E74B2A" w:rsidP="00E74B2A">
      <w:pPr>
        <w:tabs>
          <w:tab w:val="left" w:pos="1260"/>
        </w:tabs>
        <w:ind w:left="1260"/>
        <w:contextualSpacing/>
      </w:pPr>
      <w:r w:rsidRPr="00914F2A">
        <w:t>Efrain Silva indicated that all programs must achieve performance levels. Programs must review their deficiencies and explain how they will be addressing them. 90% of the targets must be met.</w:t>
      </w:r>
    </w:p>
    <w:p w:rsidR="00E74B2A" w:rsidRPr="00914F2A" w:rsidRDefault="00E74B2A" w:rsidP="00E74B2A">
      <w:pPr>
        <w:tabs>
          <w:tab w:val="left" w:pos="1260"/>
        </w:tabs>
        <w:ind w:left="1260"/>
        <w:contextualSpacing/>
      </w:pPr>
    </w:p>
    <w:p w:rsidR="00563D4D" w:rsidRPr="00914F2A" w:rsidRDefault="006B5E7F" w:rsidP="006B5E7F">
      <w:pPr>
        <w:numPr>
          <w:ilvl w:val="0"/>
          <w:numId w:val="1"/>
        </w:numPr>
        <w:tabs>
          <w:tab w:val="clear" w:pos="1080"/>
          <w:tab w:val="num" w:pos="720"/>
          <w:tab w:val="left" w:pos="1260"/>
        </w:tabs>
        <w:ind w:left="720" w:firstLine="0"/>
        <w:contextualSpacing/>
        <w:rPr>
          <w:b/>
        </w:rPr>
      </w:pPr>
      <w:r w:rsidRPr="00914F2A">
        <w:rPr>
          <w:b/>
        </w:rPr>
        <w:t>CTEA/Perkins 2010-2011 Local</w:t>
      </w:r>
      <w:r w:rsidR="00563D4D" w:rsidRPr="00914F2A">
        <w:rPr>
          <w:b/>
        </w:rPr>
        <w:t xml:space="preserve"> Plan</w:t>
      </w:r>
    </w:p>
    <w:p w:rsidR="006B5E7F" w:rsidRPr="00914F2A" w:rsidRDefault="00563D4D" w:rsidP="00563D4D">
      <w:pPr>
        <w:tabs>
          <w:tab w:val="left" w:pos="1260"/>
        </w:tabs>
        <w:ind w:left="1260"/>
        <w:contextualSpacing/>
        <w:rPr>
          <w:b/>
        </w:rPr>
      </w:pPr>
      <w:r w:rsidRPr="00914F2A">
        <w:t>Efrain Silva gave brief overview of what is needed on the forms; he requested the programs to specify priority levels. He also reminded everyone that the local plan applications are due to the Economic and Workforce Development office by March 26</w:t>
      </w:r>
      <w:r w:rsidRPr="00914F2A">
        <w:rPr>
          <w:vertAlign w:val="superscript"/>
        </w:rPr>
        <w:t>th</w:t>
      </w:r>
      <w:r w:rsidRPr="00914F2A">
        <w:t>. This will allow enough time to meet for him to meet with each program, if needed, and complete the application due to the Chancellor’s Office in May.</w:t>
      </w:r>
    </w:p>
    <w:p w:rsidR="00563D4D" w:rsidRPr="00914F2A" w:rsidRDefault="00563D4D" w:rsidP="00563D4D">
      <w:pPr>
        <w:tabs>
          <w:tab w:val="left" w:pos="1260"/>
        </w:tabs>
        <w:ind w:left="720"/>
        <w:contextualSpacing/>
        <w:rPr>
          <w:b/>
        </w:rPr>
      </w:pPr>
    </w:p>
    <w:p w:rsidR="00563D4D" w:rsidRPr="00914F2A" w:rsidRDefault="00563D4D" w:rsidP="006B5E7F">
      <w:pPr>
        <w:numPr>
          <w:ilvl w:val="0"/>
          <w:numId w:val="1"/>
        </w:numPr>
        <w:tabs>
          <w:tab w:val="clear" w:pos="1080"/>
          <w:tab w:val="num" w:pos="720"/>
          <w:tab w:val="left" w:pos="1260"/>
        </w:tabs>
        <w:ind w:left="720" w:firstLine="0"/>
        <w:contextualSpacing/>
        <w:rPr>
          <w:b/>
        </w:rPr>
      </w:pPr>
      <w:r w:rsidRPr="00914F2A">
        <w:rPr>
          <w:b/>
        </w:rPr>
        <w:t>CTEA/Perkins 2009-2010 Local Plan</w:t>
      </w:r>
    </w:p>
    <w:p w:rsidR="0006091E" w:rsidRPr="00914F2A" w:rsidRDefault="0006091E" w:rsidP="0006091E">
      <w:pPr>
        <w:tabs>
          <w:tab w:val="left" w:pos="1260"/>
        </w:tabs>
        <w:ind w:left="1260"/>
        <w:contextualSpacing/>
      </w:pPr>
      <w:r w:rsidRPr="00914F2A">
        <w:t>The Final Report for 2009-2010 is due during the summer. He suggested that if instructors will not be available to the summer, to make arrangements to submit any needed information for that report prior to the end of the spring semester.</w:t>
      </w:r>
      <w:r w:rsidR="005A7457" w:rsidRPr="00914F2A">
        <w:t xml:space="preserve"> All programs were told to notify if not all funds will be needed, or if more funds are needed for this year. Ed Wells suggested he may not need all of his allocated funds. Patrick Pauley said that he would like to request more funds. </w:t>
      </w:r>
    </w:p>
    <w:p w:rsidR="0006091E" w:rsidRPr="00914F2A" w:rsidRDefault="0006091E" w:rsidP="00E74B2A">
      <w:pPr>
        <w:tabs>
          <w:tab w:val="left" w:pos="1260"/>
        </w:tabs>
        <w:ind w:left="720"/>
        <w:contextualSpacing/>
        <w:rPr>
          <w:b/>
        </w:rPr>
      </w:pPr>
    </w:p>
    <w:p w:rsidR="006B5E7F" w:rsidRPr="00914F2A" w:rsidRDefault="006B5E7F" w:rsidP="006B5E7F">
      <w:pPr>
        <w:numPr>
          <w:ilvl w:val="0"/>
          <w:numId w:val="1"/>
        </w:numPr>
        <w:tabs>
          <w:tab w:val="clear" w:pos="1080"/>
          <w:tab w:val="num" w:pos="720"/>
          <w:tab w:val="left" w:pos="1260"/>
        </w:tabs>
        <w:ind w:left="720" w:firstLine="0"/>
        <w:contextualSpacing/>
        <w:rPr>
          <w:b/>
        </w:rPr>
      </w:pPr>
      <w:r w:rsidRPr="00914F2A">
        <w:rPr>
          <w:b/>
        </w:rPr>
        <w:t>Applied Sciences Expo – Thursday, April 22, 2010</w:t>
      </w:r>
    </w:p>
    <w:p w:rsidR="006B5E7F" w:rsidRPr="00914F2A" w:rsidRDefault="0006091E" w:rsidP="0006091E">
      <w:pPr>
        <w:tabs>
          <w:tab w:val="left" w:pos="1260"/>
        </w:tabs>
        <w:ind w:left="1260"/>
        <w:contextualSpacing/>
      </w:pPr>
      <w:r w:rsidRPr="00914F2A">
        <w:t>The Applied Sciences Expo is scheduled for Thursday, April 22</w:t>
      </w:r>
      <w:r w:rsidRPr="00914F2A">
        <w:rPr>
          <w:vertAlign w:val="superscript"/>
        </w:rPr>
        <w:t>nd</w:t>
      </w:r>
      <w:r w:rsidRPr="00914F2A">
        <w:t>. There is no cost to exhibitors. All were asked to submit contacts of any business/organization that may like to participate.</w:t>
      </w:r>
    </w:p>
    <w:p w:rsidR="0006091E" w:rsidRPr="00914F2A" w:rsidRDefault="0006091E" w:rsidP="006B5E7F">
      <w:pPr>
        <w:tabs>
          <w:tab w:val="left" w:pos="1260"/>
        </w:tabs>
        <w:ind w:left="720"/>
        <w:contextualSpacing/>
      </w:pPr>
    </w:p>
    <w:p w:rsidR="005E5340" w:rsidRPr="00914F2A" w:rsidRDefault="005E5340" w:rsidP="00307A99">
      <w:pPr>
        <w:numPr>
          <w:ilvl w:val="0"/>
          <w:numId w:val="1"/>
        </w:numPr>
        <w:tabs>
          <w:tab w:val="clear" w:pos="1080"/>
          <w:tab w:val="num" w:pos="720"/>
          <w:tab w:val="left" w:pos="1260"/>
        </w:tabs>
        <w:ind w:left="720" w:firstLine="0"/>
        <w:contextualSpacing/>
        <w:rPr>
          <w:b/>
        </w:rPr>
      </w:pPr>
      <w:r w:rsidRPr="00914F2A">
        <w:rPr>
          <w:b/>
        </w:rPr>
        <w:t>Other</w:t>
      </w:r>
    </w:p>
    <w:p w:rsidR="00C55F35" w:rsidRPr="00914F2A" w:rsidRDefault="0006091E" w:rsidP="0006091E">
      <w:pPr>
        <w:tabs>
          <w:tab w:val="left" w:pos="1260"/>
        </w:tabs>
        <w:ind w:left="1260"/>
        <w:contextualSpacing/>
      </w:pPr>
      <w:r w:rsidRPr="00914F2A">
        <w:t>Joe Espinoza continues to be the Student Employment Specialist, placing career technical education students in jobs throughout the county.</w:t>
      </w:r>
    </w:p>
    <w:p w:rsidR="00E904CB" w:rsidRPr="00914F2A" w:rsidRDefault="00E904CB" w:rsidP="00307A99">
      <w:pPr>
        <w:tabs>
          <w:tab w:val="left" w:pos="1260"/>
        </w:tabs>
        <w:ind w:left="720"/>
        <w:contextualSpacing/>
      </w:pPr>
    </w:p>
    <w:p w:rsidR="005E5340" w:rsidRPr="00914F2A" w:rsidRDefault="005E5340" w:rsidP="00307A99">
      <w:pPr>
        <w:numPr>
          <w:ilvl w:val="0"/>
          <w:numId w:val="1"/>
        </w:numPr>
        <w:tabs>
          <w:tab w:val="clear" w:pos="1080"/>
          <w:tab w:val="num" w:pos="720"/>
          <w:tab w:val="left" w:pos="1260"/>
        </w:tabs>
        <w:ind w:left="720" w:firstLine="0"/>
        <w:contextualSpacing/>
        <w:rPr>
          <w:b/>
        </w:rPr>
      </w:pPr>
      <w:r w:rsidRPr="00914F2A">
        <w:rPr>
          <w:b/>
        </w:rPr>
        <w:t>Next Meeting</w:t>
      </w:r>
    </w:p>
    <w:p w:rsidR="004E4000" w:rsidRPr="00914F2A" w:rsidRDefault="006B5E7F" w:rsidP="00307A99">
      <w:pPr>
        <w:tabs>
          <w:tab w:val="left" w:pos="1260"/>
        </w:tabs>
        <w:ind w:left="1260"/>
        <w:contextualSpacing/>
      </w:pPr>
      <w:r w:rsidRPr="00914F2A">
        <w:t>The next meeting will be scheduled for next month (TB</w:t>
      </w:r>
      <w:r w:rsidR="00933947" w:rsidRPr="00914F2A">
        <w:t>D</w:t>
      </w:r>
      <w:r w:rsidRPr="00914F2A">
        <w:t>).</w:t>
      </w:r>
    </w:p>
    <w:p w:rsidR="006B5E7F" w:rsidRPr="00914F2A" w:rsidRDefault="006B5E7F" w:rsidP="00307A99">
      <w:pPr>
        <w:tabs>
          <w:tab w:val="left" w:pos="1260"/>
        </w:tabs>
        <w:ind w:left="1260"/>
        <w:contextualSpacing/>
      </w:pPr>
    </w:p>
    <w:p w:rsidR="00E3629B" w:rsidRPr="00914F2A" w:rsidRDefault="005E5340" w:rsidP="00307A99">
      <w:pPr>
        <w:numPr>
          <w:ilvl w:val="0"/>
          <w:numId w:val="1"/>
        </w:numPr>
        <w:tabs>
          <w:tab w:val="clear" w:pos="1080"/>
          <w:tab w:val="num" w:pos="720"/>
          <w:tab w:val="left" w:pos="1260"/>
        </w:tabs>
        <w:ind w:left="720" w:firstLine="0"/>
        <w:contextualSpacing/>
        <w:rPr>
          <w:b/>
        </w:rPr>
      </w:pPr>
      <w:r w:rsidRPr="00914F2A">
        <w:rPr>
          <w:b/>
        </w:rPr>
        <w:t>Adjourn</w:t>
      </w:r>
    </w:p>
    <w:p w:rsidR="00772ADF" w:rsidRPr="00914F2A" w:rsidRDefault="00772ADF" w:rsidP="00772ADF">
      <w:pPr>
        <w:tabs>
          <w:tab w:val="left" w:pos="1260"/>
        </w:tabs>
        <w:ind w:left="720"/>
        <w:contextualSpacing/>
      </w:pPr>
      <w:r w:rsidRPr="00914F2A">
        <w:rPr>
          <w:b/>
        </w:rPr>
        <w:tab/>
      </w:r>
      <w:r w:rsidRPr="00914F2A">
        <w:t>The meeting was adjour</w:t>
      </w:r>
      <w:r w:rsidR="006B5E7F" w:rsidRPr="00914F2A">
        <w:t>ned at 1</w:t>
      </w:r>
      <w:r w:rsidR="0006091E" w:rsidRPr="00914F2A">
        <w:t>1</w:t>
      </w:r>
      <w:r w:rsidR="006B5E7F" w:rsidRPr="00914F2A">
        <w:t>:</w:t>
      </w:r>
      <w:r w:rsidR="0006091E" w:rsidRPr="00914F2A">
        <w:t>47</w:t>
      </w:r>
      <w:r w:rsidR="006B5E7F" w:rsidRPr="00914F2A">
        <w:t xml:space="preserve"> </w:t>
      </w:r>
      <w:r w:rsidR="00933947" w:rsidRPr="00914F2A">
        <w:t>AM</w:t>
      </w:r>
      <w:r w:rsidR="006B5E7F" w:rsidRPr="00914F2A">
        <w:t xml:space="preserve"> by Efrain Silva</w:t>
      </w:r>
      <w:r w:rsidRPr="00914F2A">
        <w:t>.</w:t>
      </w:r>
    </w:p>
    <w:sectPr w:rsidR="00772ADF" w:rsidRPr="00914F2A" w:rsidSect="00E362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lump MT">
    <w:panose1 w:val="020B0904020202020204"/>
    <w:charset w:val="00"/>
    <w:family w:val="swiss"/>
    <w:pitch w:val="variable"/>
    <w:sig w:usb0="00000003" w:usb1="00000000" w:usb2="00000000" w:usb3="00000000" w:csb0="00000001" w:csb1="00000000"/>
  </w:font>
  <w:font w:name="Jester">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0C99"/>
    <w:multiLevelType w:val="hybridMultilevel"/>
    <w:tmpl w:val="B7DE30D8"/>
    <w:lvl w:ilvl="0" w:tplc="2C5AD7E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6822922"/>
    <w:multiLevelType w:val="hybridMultilevel"/>
    <w:tmpl w:val="4BCC626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340"/>
    <w:rsid w:val="0006091E"/>
    <w:rsid w:val="00077A32"/>
    <w:rsid w:val="000A5079"/>
    <w:rsid w:val="00187653"/>
    <w:rsid w:val="001E7088"/>
    <w:rsid w:val="002179B3"/>
    <w:rsid w:val="00237EE8"/>
    <w:rsid w:val="002432EA"/>
    <w:rsid w:val="0028312E"/>
    <w:rsid w:val="00307A99"/>
    <w:rsid w:val="00342CE0"/>
    <w:rsid w:val="00493003"/>
    <w:rsid w:val="00496DE9"/>
    <w:rsid w:val="004E4000"/>
    <w:rsid w:val="005070B4"/>
    <w:rsid w:val="005537E0"/>
    <w:rsid w:val="00563D4D"/>
    <w:rsid w:val="005A7457"/>
    <w:rsid w:val="005E5340"/>
    <w:rsid w:val="006070CB"/>
    <w:rsid w:val="00674114"/>
    <w:rsid w:val="0068402E"/>
    <w:rsid w:val="006B5E7F"/>
    <w:rsid w:val="006B644D"/>
    <w:rsid w:val="006E3E7D"/>
    <w:rsid w:val="00772ADF"/>
    <w:rsid w:val="007D385E"/>
    <w:rsid w:val="007E48FD"/>
    <w:rsid w:val="00824084"/>
    <w:rsid w:val="008F1E7C"/>
    <w:rsid w:val="00914F2A"/>
    <w:rsid w:val="00933947"/>
    <w:rsid w:val="009356B0"/>
    <w:rsid w:val="00976EA2"/>
    <w:rsid w:val="009E06F9"/>
    <w:rsid w:val="00A8668D"/>
    <w:rsid w:val="00A96A20"/>
    <w:rsid w:val="00AF6899"/>
    <w:rsid w:val="00B2571D"/>
    <w:rsid w:val="00B3088E"/>
    <w:rsid w:val="00BC25A6"/>
    <w:rsid w:val="00BE2760"/>
    <w:rsid w:val="00C36CF6"/>
    <w:rsid w:val="00C55F35"/>
    <w:rsid w:val="00C6270F"/>
    <w:rsid w:val="00CF3153"/>
    <w:rsid w:val="00D16964"/>
    <w:rsid w:val="00D33FE7"/>
    <w:rsid w:val="00DD57D8"/>
    <w:rsid w:val="00E3629B"/>
    <w:rsid w:val="00E74B2A"/>
    <w:rsid w:val="00E75772"/>
    <w:rsid w:val="00E904CB"/>
    <w:rsid w:val="00EF4D2E"/>
    <w:rsid w:val="00F011B7"/>
    <w:rsid w:val="00F047BA"/>
    <w:rsid w:val="00F453A2"/>
    <w:rsid w:val="00F67F84"/>
    <w:rsid w:val="00FA1171"/>
    <w:rsid w:val="00FC26AF"/>
    <w:rsid w:val="00FF3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DE9"/>
    <w:rPr>
      <w:rFonts w:ascii="Tahoma" w:hAnsi="Tahoma" w:cs="Tahoma"/>
      <w:sz w:val="16"/>
      <w:szCs w:val="16"/>
    </w:rPr>
  </w:style>
  <w:style w:type="character" w:customStyle="1" w:styleId="BalloonTextChar">
    <w:name w:val="Balloon Text Char"/>
    <w:basedOn w:val="DefaultParagraphFont"/>
    <w:link w:val="BalloonText"/>
    <w:uiPriority w:val="99"/>
    <w:semiHidden/>
    <w:rsid w:val="00496DE9"/>
    <w:rPr>
      <w:rFonts w:ascii="Tahoma" w:eastAsia="Times New Roman" w:hAnsi="Tahoma" w:cs="Tahoma"/>
      <w:sz w:val="16"/>
      <w:szCs w:val="16"/>
    </w:rPr>
  </w:style>
  <w:style w:type="paragraph" w:styleId="ListParagraph">
    <w:name w:val="List Paragraph"/>
    <w:basedOn w:val="Normal"/>
    <w:uiPriority w:val="34"/>
    <w:qFormat/>
    <w:rsid w:val="00563D4D"/>
    <w:pPr>
      <w:ind w:left="720"/>
      <w:contextualSpacing/>
    </w:pPr>
  </w:style>
</w:styles>
</file>

<file path=word/webSettings.xml><?xml version="1.0" encoding="utf-8"?>
<w:webSettings xmlns:r="http://schemas.openxmlformats.org/officeDocument/2006/relationships" xmlns:w="http://schemas.openxmlformats.org/wordprocessingml/2006/main">
  <w:divs>
    <w:div w:id="6084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5D7B6-44D9-45BC-8DC6-E07FDE79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2010-03-04T16:48:00Z</cp:lastPrinted>
  <dcterms:created xsi:type="dcterms:W3CDTF">2010-03-23T19:53:00Z</dcterms:created>
  <dcterms:modified xsi:type="dcterms:W3CDTF">2011-03-29T21:17:00Z</dcterms:modified>
</cp:coreProperties>
</file>